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BF31" w14:textId="6993A5B4" w:rsidR="00E465E2" w:rsidRPr="004B0B93" w:rsidRDefault="00E465E2" w:rsidP="00F00E02">
      <w:pPr>
        <w:spacing w:before="240"/>
        <w:ind w:left="-426" w:right="283" w:firstLine="283"/>
        <w:rPr>
          <w:rFonts w:ascii="Arial" w:hAnsi="Arial" w:cs="Arial"/>
          <w:b/>
          <w:color w:val="FFFFFF"/>
        </w:rPr>
      </w:pPr>
      <w:r>
        <w:rPr>
          <w:b/>
          <w:noProof/>
        </w:rPr>
        <w:drawing>
          <wp:anchor distT="0" distB="0" distL="114300" distR="114300" simplePos="0" relativeHeight="251658240" behindDoc="1" locked="0" layoutInCell="1" allowOverlap="1" wp14:anchorId="3D7BA9AA" wp14:editId="43677A9B">
            <wp:simplePos x="0" y="0"/>
            <wp:positionH relativeFrom="page">
              <wp:align>right</wp:align>
            </wp:positionH>
            <wp:positionV relativeFrom="paragraph">
              <wp:posOffset>-3175</wp:posOffset>
            </wp:positionV>
            <wp:extent cx="8029575" cy="1162050"/>
            <wp:effectExtent l="0" t="0" r="9525" b="0"/>
            <wp:wrapNone/>
            <wp:docPr id="717790021" name="Picture 717790021" descr="A black and white image of a black and white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90021" name="Picture 6" descr="A black and white image of a black and white im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957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color w:val="FFFFFF"/>
        </w:rPr>
        <w:t>Finance, Economy &amp; Corporate Services Scrutiny Committee</w:t>
      </w:r>
    </w:p>
    <w:p w14:paraId="523B8BDF" w14:textId="77777777" w:rsidR="00E465E2" w:rsidRPr="004B0B93" w:rsidRDefault="00E465E2" w:rsidP="00E465E2">
      <w:pPr>
        <w:rPr>
          <w:rFonts w:ascii="Arial" w:hAnsi="Arial" w:cs="Arial"/>
        </w:rPr>
      </w:pPr>
    </w:p>
    <w:p w14:paraId="5171D861" w14:textId="77777777" w:rsidR="00E465E2" w:rsidRPr="004B0B93" w:rsidRDefault="00E465E2" w:rsidP="00E465E2">
      <w:pPr>
        <w:rPr>
          <w:rFonts w:ascii="Arial" w:hAnsi="Arial" w:cs="Arial"/>
          <w:b/>
        </w:rPr>
      </w:pPr>
      <w:r>
        <w:rPr>
          <w:rFonts w:ascii="Arial" w:hAnsi="Arial" w:cs="Arial"/>
          <w:b/>
        </w:rPr>
        <w:t>25</w:t>
      </w:r>
      <w:r w:rsidRPr="00181BED">
        <w:rPr>
          <w:rFonts w:ascii="Arial" w:hAnsi="Arial" w:cs="Arial"/>
          <w:b/>
          <w:vertAlign w:val="superscript"/>
        </w:rPr>
        <w:t>th</w:t>
      </w:r>
      <w:r>
        <w:rPr>
          <w:rFonts w:ascii="Arial" w:hAnsi="Arial" w:cs="Arial"/>
          <w:b/>
        </w:rPr>
        <w:t xml:space="preserve"> January 2024</w:t>
      </w:r>
    </w:p>
    <w:p w14:paraId="2EC29B15" w14:textId="2B5601AA" w:rsidR="00E465E2" w:rsidRPr="004B0B93" w:rsidRDefault="00E465E2" w:rsidP="00E465E2">
      <w:pPr>
        <w:tabs>
          <w:tab w:val="left" w:pos="2670"/>
        </w:tabs>
        <w:rPr>
          <w:rFonts w:ascii="Arial" w:hAnsi="Arial" w:cs="Arial"/>
        </w:rPr>
      </w:pPr>
      <w:r w:rsidRPr="004B0B93">
        <w:rPr>
          <w:rFonts w:ascii="Arial" w:hAnsi="Arial" w:cs="Arial"/>
          <w:b/>
        </w:rPr>
        <w:t>Agenda Item No</w:t>
      </w:r>
      <w:r w:rsidR="00015558">
        <w:rPr>
          <w:rFonts w:ascii="Arial" w:hAnsi="Arial" w:cs="Arial"/>
          <w:b/>
        </w:rPr>
        <w:t xml:space="preserve"> 8</w:t>
      </w:r>
      <w:r>
        <w:rPr>
          <w:rFonts w:ascii="Arial" w:hAnsi="Arial" w:cs="Arial"/>
        </w:rPr>
        <w:tab/>
      </w:r>
    </w:p>
    <w:tbl>
      <w:tblPr>
        <w:tblW w:w="0" w:type="auto"/>
        <w:tblLook w:val="00A0" w:firstRow="1" w:lastRow="0" w:firstColumn="1" w:lastColumn="0" w:noHBand="0" w:noVBand="0"/>
      </w:tblPr>
      <w:tblGrid>
        <w:gridCol w:w="9026"/>
      </w:tblGrid>
      <w:tr w:rsidR="00E465E2" w:rsidRPr="004B0B93" w14:paraId="54686CC7" w14:textId="77777777">
        <w:tc>
          <w:tcPr>
            <w:tcW w:w="10314" w:type="dxa"/>
            <w:tcBorders>
              <w:top w:val="single" w:sz="4" w:space="0" w:color="auto"/>
              <w:bottom w:val="single" w:sz="4" w:space="0" w:color="00424F"/>
            </w:tcBorders>
          </w:tcPr>
          <w:p w14:paraId="7AC4366A" w14:textId="77777777" w:rsidR="00E465E2" w:rsidRPr="004B0B93" w:rsidRDefault="00E465E2">
            <w:pPr>
              <w:rPr>
                <w:rFonts w:ascii="Arial" w:hAnsi="Arial" w:cs="Arial"/>
                <w:b/>
                <w:sz w:val="40"/>
                <w:szCs w:val="40"/>
              </w:rPr>
            </w:pPr>
            <w:r>
              <w:rPr>
                <w:rFonts w:ascii="Arial" w:hAnsi="Arial" w:cs="Arial"/>
                <w:b/>
                <w:sz w:val="40"/>
                <w:szCs w:val="40"/>
              </w:rPr>
              <w:t>Finance &amp; Corporate Services Directorate Performance Report</w:t>
            </w:r>
          </w:p>
        </w:tc>
      </w:tr>
      <w:tr w:rsidR="00E465E2" w:rsidRPr="004B0B93" w14:paraId="438AD2BA" w14:textId="77777777">
        <w:tc>
          <w:tcPr>
            <w:tcW w:w="10314" w:type="dxa"/>
            <w:tcBorders>
              <w:top w:val="single" w:sz="4" w:space="0" w:color="00424F"/>
              <w:bottom w:val="single" w:sz="4" w:space="0" w:color="00424F"/>
            </w:tcBorders>
          </w:tcPr>
          <w:p w14:paraId="4521FA44" w14:textId="77777777" w:rsidR="00E465E2" w:rsidRPr="004B0B93" w:rsidRDefault="00E465E2">
            <w:pPr>
              <w:tabs>
                <w:tab w:val="left" w:pos="2160"/>
              </w:tabs>
              <w:rPr>
                <w:rFonts w:ascii="Arial" w:hAnsi="Arial" w:cs="Arial"/>
                <w:b/>
              </w:rPr>
            </w:pPr>
            <w:r w:rsidRPr="004B0B93">
              <w:rPr>
                <w:rFonts w:ascii="Arial" w:hAnsi="Arial" w:cs="Arial"/>
                <w:b/>
              </w:rPr>
              <w:t>Report by:</w:t>
            </w:r>
            <w:r w:rsidRPr="004B0B93">
              <w:rPr>
                <w:rFonts w:ascii="Arial" w:hAnsi="Arial" w:cs="Arial"/>
                <w:b/>
              </w:rPr>
              <w:tab/>
            </w:r>
            <w:r>
              <w:rPr>
                <w:rFonts w:ascii="Arial" w:hAnsi="Arial" w:cs="Arial"/>
                <w:b/>
              </w:rPr>
              <w:t>Eileen Rowand, Executive Director</w:t>
            </w:r>
          </w:p>
        </w:tc>
      </w:tr>
      <w:tr w:rsidR="00E465E2" w:rsidRPr="004B0B93" w14:paraId="375B2556" w14:textId="77777777">
        <w:tc>
          <w:tcPr>
            <w:tcW w:w="10314" w:type="dxa"/>
            <w:tcBorders>
              <w:top w:val="single" w:sz="4" w:space="0" w:color="00424F"/>
              <w:bottom w:val="single" w:sz="4" w:space="0" w:color="00424F"/>
            </w:tcBorders>
          </w:tcPr>
          <w:p w14:paraId="3FC3031C" w14:textId="77777777" w:rsidR="00E465E2" w:rsidRPr="004B0B93" w:rsidRDefault="00E465E2">
            <w:pPr>
              <w:rPr>
                <w:rFonts w:ascii="Arial" w:hAnsi="Arial" w:cs="Arial"/>
                <w:b/>
              </w:rPr>
            </w:pPr>
            <w:r w:rsidRPr="004B0B93">
              <w:rPr>
                <w:rFonts w:ascii="Arial" w:hAnsi="Arial" w:cs="Arial"/>
                <w:b/>
              </w:rPr>
              <w:t xml:space="preserve">Wards Affected: </w:t>
            </w:r>
            <w:r w:rsidRPr="004B0B93">
              <w:rPr>
                <w:rFonts w:ascii="Arial" w:hAnsi="Arial" w:cs="Arial"/>
                <w:b/>
              </w:rPr>
              <w:tab/>
            </w:r>
            <w:r w:rsidRPr="00393525">
              <w:rPr>
                <w:rFonts w:ascii="Arial" w:hAnsi="Arial" w:cs="Arial"/>
                <w:bCs/>
              </w:rPr>
              <w:t>All</w:t>
            </w:r>
          </w:p>
        </w:tc>
      </w:tr>
    </w:tbl>
    <w:p w14:paraId="3EB417C1" w14:textId="77777777" w:rsidR="00E465E2" w:rsidRPr="004B0B93" w:rsidRDefault="00E465E2" w:rsidP="00E465E2">
      <w:pPr>
        <w:pBdr>
          <w:bottom w:val="single" w:sz="4" w:space="1" w:color="auto"/>
        </w:pBdr>
        <w:spacing w:before="240"/>
        <w:rPr>
          <w:rFonts w:ascii="Arial" w:hAnsi="Arial" w:cs="Arial"/>
        </w:rPr>
      </w:pPr>
      <w:r w:rsidRPr="004B0B93">
        <w:rPr>
          <w:rFonts w:ascii="Arial" w:hAnsi="Arial" w:cs="Arial"/>
          <w:b/>
        </w:rPr>
        <w:t>Purpose</w:t>
      </w:r>
    </w:p>
    <w:p w14:paraId="1E0013D8" w14:textId="77777777" w:rsidR="00E465E2" w:rsidRPr="00C86B25" w:rsidRDefault="00E465E2" w:rsidP="00E465E2">
      <w:pPr>
        <w:spacing w:before="240"/>
        <w:ind w:left="720"/>
        <w:jc w:val="both"/>
        <w:rPr>
          <w:rFonts w:ascii="Arial" w:hAnsi="Arial" w:cs="Arial"/>
        </w:rPr>
      </w:pPr>
      <w:r w:rsidRPr="1726BC47">
        <w:rPr>
          <w:rFonts w:ascii="Arial" w:hAnsi="Arial" w:cs="Arial"/>
        </w:rPr>
        <w:t>To present</w:t>
      </w:r>
      <w:r>
        <w:rPr>
          <w:rFonts w:ascii="Arial" w:hAnsi="Arial" w:cs="Arial"/>
        </w:rPr>
        <w:t xml:space="preserve"> the Finance &amp; Corporate Services Directorate</w:t>
      </w:r>
      <w:r w:rsidRPr="1726BC47">
        <w:rPr>
          <w:rFonts w:ascii="Arial" w:hAnsi="Arial" w:cs="Arial"/>
        </w:rPr>
        <w:t xml:space="preserve"> </w:t>
      </w:r>
      <w:r>
        <w:rPr>
          <w:rFonts w:ascii="Arial" w:hAnsi="Arial" w:cs="Arial"/>
        </w:rPr>
        <w:t>P</w:t>
      </w:r>
      <w:r w:rsidRPr="1726BC47">
        <w:rPr>
          <w:rFonts w:ascii="Arial" w:hAnsi="Arial" w:cs="Arial"/>
        </w:rPr>
        <w:t xml:space="preserve">erformance </w:t>
      </w:r>
      <w:r>
        <w:rPr>
          <w:rFonts w:ascii="Arial" w:hAnsi="Arial" w:cs="Arial"/>
        </w:rPr>
        <w:t>S</w:t>
      </w:r>
      <w:r w:rsidRPr="1726BC47">
        <w:rPr>
          <w:rFonts w:ascii="Arial" w:hAnsi="Arial" w:cs="Arial"/>
        </w:rPr>
        <w:t>corecard for 20</w:t>
      </w:r>
      <w:r>
        <w:rPr>
          <w:rFonts w:ascii="Arial" w:hAnsi="Arial" w:cs="Arial"/>
        </w:rPr>
        <w:t>22/23</w:t>
      </w:r>
      <w:r w:rsidRPr="1726BC47">
        <w:rPr>
          <w:rFonts w:ascii="Arial" w:hAnsi="Arial" w:cs="Arial"/>
        </w:rPr>
        <w:t>.</w:t>
      </w:r>
    </w:p>
    <w:p w14:paraId="0405F8F3" w14:textId="77777777" w:rsidR="00E465E2" w:rsidRPr="004B0B93" w:rsidRDefault="00E465E2" w:rsidP="00E465E2">
      <w:pPr>
        <w:pStyle w:val="overviewheading"/>
        <w:spacing w:before="240" w:after="120"/>
        <w:rPr>
          <w:rFonts w:ascii="Arial" w:hAnsi="Arial" w:cs="Arial"/>
        </w:rPr>
      </w:pPr>
      <w:r w:rsidRPr="004B0B93">
        <w:rPr>
          <w:rFonts w:ascii="Arial" w:hAnsi="Arial" w:cs="Arial"/>
        </w:rPr>
        <w:t>Recommendation(s)</w:t>
      </w:r>
    </w:p>
    <w:p w14:paraId="742C2D95" w14:textId="77777777" w:rsidR="00E465E2" w:rsidRPr="005E6AE5" w:rsidRDefault="00E465E2" w:rsidP="00E465E2">
      <w:pPr>
        <w:pStyle w:val="Para2"/>
        <w:numPr>
          <w:ilvl w:val="2"/>
          <w:numId w:val="0"/>
        </w:numPr>
        <w:spacing w:before="240"/>
        <w:ind w:firstLine="720"/>
        <w:rPr>
          <w:rFonts w:ascii="Arial" w:hAnsi="Arial" w:cs="Arial"/>
        </w:rPr>
      </w:pPr>
      <w:r w:rsidRPr="005E6AE5">
        <w:rPr>
          <w:rFonts w:ascii="Arial" w:hAnsi="Arial" w:cs="Arial"/>
        </w:rPr>
        <w:t>Members are asked to:</w:t>
      </w:r>
      <w:r>
        <w:rPr>
          <w:rFonts w:ascii="Arial" w:hAnsi="Arial" w:cs="Arial"/>
        </w:rPr>
        <w:t xml:space="preserve"> -</w:t>
      </w:r>
    </w:p>
    <w:p w14:paraId="5DDDACE1" w14:textId="77777777" w:rsidR="00E465E2" w:rsidRDefault="00E465E2" w:rsidP="00E465E2">
      <w:pPr>
        <w:numPr>
          <w:ilvl w:val="0"/>
          <w:numId w:val="2"/>
        </w:numPr>
        <w:spacing w:before="240"/>
        <w:jc w:val="both"/>
        <w:rPr>
          <w:rFonts w:ascii="Arial" w:eastAsia="Arial" w:hAnsi="Arial" w:cs="Arial"/>
          <w:szCs w:val="24"/>
        </w:rPr>
      </w:pPr>
      <w:r w:rsidRPr="0956F429">
        <w:rPr>
          <w:rFonts w:ascii="Arial" w:hAnsi="Arial" w:cs="Arial"/>
        </w:rPr>
        <w:t>Note the arrangements to fulfil the Council’s obligation to comply with Audit Scotland’s 20</w:t>
      </w:r>
      <w:r>
        <w:rPr>
          <w:rFonts w:ascii="Arial" w:hAnsi="Arial" w:cs="Arial"/>
        </w:rPr>
        <w:t>21</w:t>
      </w:r>
      <w:r w:rsidRPr="0956F429">
        <w:rPr>
          <w:rFonts w:ascii="Arial" w:hAnsi="Arial" w:cs="Arial"/>
        </w:rPr>
        <w:t xml:space="preserve"> SPI Direction.  </w:t>
      </w:r>
    </w:p>
    <w:p w14:paraId="1C3E2867" w14:textId="77777777" w:rsidR="00E465E2" w:rsidRPr="007E5274" w:rsidRDefault="00E465E2" w:rsidP="00E465E2">
      <w:pPr>
        <w:numPr>
          <w:ilvl w:val="0"/>
          <w:numId w:val="2"/>
        </w:numPr>
        <w:spacing w:before="240"/>
        <w:jc w:val="both"/>
        <w:rPr>
          <w:rFonts w:ascii="Arial" w:hAnsi="Arial" w:cs="Arial"/>
        </w:rPr>
      </w:pPr>
      <w:r>
        <w:rPr>
          <w:rFonts w:ascii="Arial" w:hAnsi="Arial" w:cs="Arial"/>
        </w:rPr>
        <w:t>Consider t</w:t>
      </w:r>
      <w:r w:rsidRPr="61B72F7D">
        <w:rPr>
          <w:rFonts w:ascii="Arial" w:hAnsi="Arial" w:cs="Arial"/>
        </w:rPr>
        <w:t>he</w:t>
      </w:r>
      <w:r>
        <w:rPr>
          <w:rFonts w:ascii="Arial" w:hAnsi="Arial" w:cs="Arial"/>
        </w:rPr>
        <w:t xml:space="preserve"> Finance &amp; Corporate Services Directorate </w:t>
      </w:r>
      <w:r w:rsidRPr="61B72F7D">
        <w:rPr>
          <w:rFonts w:ascii="Arial" w:hAnsi="Arial" w:cs="Arial"/>
        </w:rPr>
        <w:t>performance information</w:t>
      </w:r>
      <w:r>
        <w:rPr>
          <w:rFonts w:ascii="Arial" w:hAnsi="Arial" w:cs="Arial"/>
        </w:rPr>
        <w:t xml:space="preserve"> </w:t>
      </w:r>
      <w:r w:rsidRPr="61B72F7D">
        <w:rPr>
          <w:rFonts w:ascii="Arial" w:hAnsi="Arial" w:cs="Arial"/>
        </w:rPr>
        <w:t xml:space="preserve">including current challenges/priorities and Risks.  A high-level overview </w:t>
      </w:r>
      <w:r w:rsidRPr="00143342">
        <w:rPr>
          <w:rFonts w:ascii="Arial" w:hAnsi="Arial" w:cs="Arial"/>
        </w:rPr>
        <w:t>of Finance &amp; Corporate Services Directorate KPIs</w:t>
      </w:r>
      <w:r w:rsidRPr="61B72F7D">
        <w:rPr>
          <w:rFonts w:ascii="Arial" w:hAnsi="Arial" w:cs="Arial"/>
        </w:rPr>
        <w:t xml:space="preserve"> is attached in Appendix 1 – covering 4 lenses: </w:t>
      </w:r>
      <w:r>
        <w:t>Local Government Benchmarking Framework (LGBF), Plan for Fife (P4F), Customer, Resources and Service Operations</w:t>
      </w:r>
      <w:r w:rsidRPr="61B72F7D">
        <w:rPr>
          <w:rFonts w:ascii="Arial" w:hAnsi="Arial" w:cs="Arial"/>
        </w:rPr>
        <w:t xml:space="preserve">. </w:t>
      </w:r>
    </w:p>
    <w:p w14:paraId="0E778EF0" w14:textId="77777777" w:rsidR="00E465E2" w:rsidRPr="004B0B93" w:rsidRDefault="00E465E2" w:rsidP="00E465E2">
      <w:pPr>
        <w:pStyle w:val="overviewheading"/>
        <w:spacing w:before="240" w:after="120"/>
        <w:rPr>
          <w:rFonts w:ascii="Arial" w:hAnsi="Arial" w:cs="Arial"/>
        </w:rPr>
      </w:pPr>
      <w:r w:rsidRPr="004B0B93">
        <w:rPr>
          <w:rFonts w:ascii="Arial" w:hAnsi="Arial" w:cs="Arial"/>
        </w:rPr>
        <w:t>Resource Implications</w:t>
      </w:r>
    </w:p>
    <w:p w14:paraId="1BB34815" w14:textId="77777777" w:rsidR="00E465E2" w:rsidRPr="004B0B93" w:rsidRDefault="00E465E2" w:rsidP="00E465E2">
      <w:pPr>
        <w:pStyle w:val="summarydetails"/>
        <w:spacing w:before="240" w:after="120"/>
        <w:rPr>
          <w:rFonts w:ascii="Arial" w:hAnsi="Arial" w:cs="Arial"/>
        </w:rPr>
      </w:pPr>
      <w:r>
        <w:rPr>
          <w:rFonts w:ascii="Arial" w:hAnsi="Arial" w:cs="Arial"/>
        </w:rPr>
        <w:t>None</w:t>
      </w:r>
    </w:p>
    <w:p w14:paraId="47E11EA0" w14:textId="77777777" w:rsidR="00E465E2" w:rsidRPr="004B0B93" w:rsidRDefault="00E465E2" w:rsidP="00E465E2">
      <w:pPr>
        <w:pStyle w:val="overviewheading"/>
        <w:spacing w:before="240" w:after="120"/>
        <w:rPr>
          <w:rFonts w:ascii="Arial" w:hAnsi="Arial" w:cs="Arial"/>
          <w:bCs/>
        </w:rPr>
      </w:pPr>
      <w:r w:rsidRPr="004B0B93">
        <w:rPr>
          <w:rFonts w:ascii="Arial" w:hAnsi="Arial" w:cs="Arial"/>
          <w:bCs/>
        </w:rPr>
        <w:t>Legal &amp; Risk Implications</w:t>
      </w:r>
    </w:p>
    <w:p w14:paraId="2260C787" w14:textId="77777777" w:rsidR="00E465E2" w:rsidRPr="00142629" w:rsidRDefault="00E465E2" w:rsidP="00E465E2">
      <w:pPr>
        <w:pStyle w:val="summarydetails"/>
        <w:spacing w:before="240" w:after="120"/>
        <w:rPr>
          <w:rFonts w:ascii="Arial" w:hAnsi="Arial" w:cs="Arial"/>
        </w:rPr>
      </w:pPr>
      <w:r w:rsidRPr="00142629">
        <w:rPr>
          <w:rFonts w:ascii="Arial" w:hAnsi="Arial" w:cs="Arial"/>
          <w:szCs w:val="24"/>
        </w:rPr>
        <w:t>There are legal requirements highlighted within this report, linked to a risk of regulatory intervention if the Council does not adhere to the standards and expectations set by Audit Scotland.</w:t>
      </w:r>
    </w:p>
    <w:p w14:paraId="75D352FE" w14:textId="77777777" w:rsidR="00E465E2" w:rsidRPr="004B0B93" w:rsidRDefault="00E465E2" w:rsidP="00E465E2">
      <w:pPr>
        <w:pStyle w:val="overviewheading"/>
        <w:spacing w:before="240" w:after="120"/>
        <w:rPr>
          <w:rFonts w:ascii="Arial" w:hAnsi="Arial" w:cs="Arial"/>
          <w:bCs/>
        </w:rPr>
      </w:pPr>
      <w:r w:rsidRPr="004B0B93">
        <w:rPr>
          <w:rFonts w:ascii="Arial" w:hAnsi="Arial" w:cs="Arial"/>
          <w:bCs/>
        </w:rPr>
        <w:t>Impact Assessment</w:t>
      </w:r>
    </w:p>
    <w:p w14:paraId="4723C904" w14:textId="77777777" w:rsidR="00E465E2" w:rsidRPr="004E555E" w:rsidRDefault="00E465E2" w:rsidP="00E465E2">
      <w:pPr>
        <w:spacing w:before="240"/>
        <w:ind w:left="720"/>
        <w:jc w:val="both"/>
        <w:rPr>
          <w:rFonts w:ascii="Arial" w:hAnsi="Arial" w:cs="Arial"/>
        </w:rPr>
      </w:pPr>
      <w:r w:rsidRPr="004E555E">
        <w:rPr>
          <w:rFonts w:ascii="Arial" w:hAnsi="Arial" w:cs="Arial"/>
        </w:rPr>
        <w:t>An EqIA is not required because the report does not propose a change or revision to existing policies and practices.</w:t>
      </w:r>
    </w:p>
    <w:p w14:paraId="42E38A46" w14:textId="77777777" w:rsidR="00E465E2" w:rsidRPr="004B0B93" w:rsidRDefault="00E465E2" w:rsidP="00E465E2">
      <w:pPr>
        <w:pStyle w:val="overviewheading"/>
        <w:spacing w:before="240" w:after="120"/>
        <w:rPr>
          <w:rFonts w:ascii="Arial" w:hAnsi="Arial" w:cs="Arial"/>
          <w:bCs/>
        </w:rPr>
      </w:pPr>
      <w:r w:rsidRPr="004B0B93">
        <w:rPr>
          <w:rFonts w:ascii="Arial" w:hAnsi="Arial" w:cs="Arial"/>
          <w:bCs/>
        </w:rPr>
        <w:t>Consultation</w:t>
      </w:r>
    </w:p>
    <w:p w14:paraId="2E3C87E2" w14:textId="526199A3" w:rsidR="00E465E2" w:rsidRPr="004B0B93" w:rsidRDefault="00E465E2" w:rsidP="00E465E2">
      <w:pPr>
        <w:pStyle w:val="summarydetails"/>
        <w:spacing w:before="240" w:after="120"/>
        <w:rPr>
          <w:rFonts w:ascii="Arial" w:hAnsi="Arial" w:cs="Arial"/>
        </w:rPr>
      </w:pPr>
      <w:r>
        <w:rPr>
          <w:rFonts w:ascii="Arial" w:hAnsi="Arial" w:cs="Arial"/>
        </w:rPr>
        <w:t>None required</w:t>
      </w:r>
      <w:r w:rsidR="00106FB9">
        <w:rPr>
          <w:rFonts w:ascii="Arial" w:hAnsi="Arial" w:cs="Arial"/>
        </w:rPr>
        <w:t>.</w:t>
      </w:r>
    </w:p>
    <w:p w14:paraId="6335A485" w14:textId="77777777" w:rsidR="00E465E2" w:rsidRPr="004B0B93" w:rsidRDefault="00E465E2" w:rsidP="00E465E2">
      <w:pPr>
        <w:spacing w:before="240"/>
        <w:rPr>
          <w:rFonts w:ascii="Arial" w:hAnsi="Arial" w:cs="Arial"/>
        </w:rPr>
      </w:pPr>
    </w:p>
    <w:p w14:paraId="1BF55DBB" w14:textId="77777777" w:rsidR="00E465E2" w:rsidRPr="004B0B93" w:rsidRDefault="00E465E2" w:rsidP="00E465E2">
      <w:pPr>
        <w:pStyle w:val="Heading2"/>
        <w:spacing w:before="240" w:after="120"/>
        <w:rPr>
          <w:rFonts w:ascii="Arial" w:hAnsi="Arial" w:cs="Arial"/>
        </w:rPr>
      </w:pPr>
      <w:r w:rsidRPr="004B0B93">
        <w:rPr>
          <w:rFonts w:ascii="Arial" w:hAnsi="Arial" w:cs="Arial"/>
        </w:rPr>
        <w:t>1.0</w:t>
      </w:r>
      <w:r w:rsidRPr="004B0B93">
        <w:rPr>
          <w:rFonts w:ascii="Arial" w:hAnsi="Arial" w:cs="Arial"/>
        </w:rPr>
        <w:tab/>
        <w:t>Background</w:t>
      </w:r>
    </w:p>
    <w:p w14:paraId="2F19997D" w14:textId="77777777" w:rsidR="00E465E2" w:rsidRPr="00781331" w:rsidRDefault="00E465E2" w:rsidP="00E465E2">
      <w:pPr>
        <w:pStyle w:val="Default"/>
        <w:numPr>
          <w:ilvl w:val="1"/>
          <w:numId w:val="3"/>
        </w:numPr>
        <w:rPr>
          <w:rFonts w:eastAsia="Times New Roman"/>
        </w:rPr>
      </w:pPr>
      <w:r w:rsidRPr="00781331">
        <w:rPr>
          <w:rFonts w:eastAsia="Times New Roman"/>
        </w:rPr>
        <w:t xml:space="preserve">Audit Scotland published </w:t>
      </w:r>
      <w:r w:rsidRPr="00233108">
        <w:rPr>
          <w:rFonts w:eastAsia="Times New Roman"/>
        </w:rPr>
        <w:t>an update on</w:t>
      </w:r>
      <w:r w:rsidRPr="00781331">
        <w:rPr>
          <w:rFonts w:eastAsia="Times New Roman"/>
        </w:rPr>
        <w:t xml:space="preserve"> Statutory Performance Direction in December </w:t>
      </w:r>
      <w:r>
        <w:rPr>
          <w:rFonts w:eastAsia="Times New Roman"/>
        </w:rPr>
        <w:t xml:space="preserve">2021.  </w:t>
      </w:r>
      <w:r w:rsidRPr="00781331">
        <w:rPr>
          <w:rFonts w:eastAsia="Times New Roman"/>
        </w:rPr>
        <w:t>The Council is required to report a range of information setting out:</w:t>
      </w:r>
    </w:p>
    <w:p w14:paraId="04221FFD" w14:textId="77777777" w:rsidR="00E465E2" w:rsidRPr="00233108" w:rsidRDefault="00E465E2" w:rsidP="00E465E2">
      <w:pPr>
        <w:autoSpaceDE w:val="0"/>
        <w:autoSpaceDN w:val="0"/>
        <w:adjustRightInd w:val="0"/>
        <w:spacing w:before="0" w:after="0"/>
        <w:ind w:left="720"/>
        <w:rPr>
          <w:rFonts w:ascii="Arial" w:eastAsia="Times New Roman" w:hAnsi="Arial" w:cs="Arial"/>
          <w:color w:val="000000"/>
        </w:rPr>
      </w:pPr>
    </w:p>
    <w:p w14:paraId="2C31DCA4" w14:textId="77777777" w:rsidR="00E465E2" w:rsidRPr="00233108" w:rsidRDefault="00E465E2" w:rsidP="00E465E2">
      <w:pPr>
        <w:numPr>
          <w:ilvl w:val="0"/>
          <w:numId w:val="4"/>
        </w:numPr>
        <w:autoSpaceDE w:val="0"/>
        <w:autoSpaceDN w:val="0"/>
        <w:adjustRightInd w:val="0"/>
        <w:spacing w:before="0" w:after="0"/>
        <w:rPr>
          <w:rFonts w:ascii="Arial" w:eastAsia="Times New Roman" w:hAnsi="Arial" w:cs="Arial"/>
          <w:color w:val="000000"/>
        </w:rPr>
      </w:pPr>
      <w:r w:rsidRPr="008B68FE">
        <w:rPr>
          <w:rFonts w:ascii="Arial" w:eastAsia="Times New Roman" w:hAnsi="Arial" w:cs="Arial"/>
          <w:color w:val="000000"/>
        </w:rPr>
        <w:t>Its performance in improving local public services, provided by both (i) the council itself and (ii) by the council in conjunction with its partners and communities</w:t>
      </w:r>
    </w:p>
    <w:p w14:paraId="0FEA4E1B" w14:textId="77777777" w:rsidR="00E465E2" w:rsidRPr="00233108" w:rsidRDefault="00E465E2" w:rsidP="00E465E2">
      <w:pPr>
        <w:numPr>
          <w:ilvl w:val="0"/>
          <w:numId w:val="4"/>
        </w:numPr>
        <w:autoSpaceDE w:val="0"/>
        <w:autoSpaceDN w:val="0"/>
        <w:adjustRightInd w:val="0"/>
        <w:spacing w:before="0" w:after="0"/>
        <w:rPr>
          <w:rFonts w:ascii="Arial" w:eastAsia="Times New Roman" w:hAnsi="Arial" w:cs="Arial"/>
          <w:color w:val="000000"/>
        </w:rPr>
      </w:pPr>
      <w:r w:rsidRPr="008B68FE">
        <w:rPr>
          <w:rFonts w:ascii="Arial" w:eastAsia="Times New Roman" w:hAnsi="Arial" w:cs="Arial"/>
          <w:color w:val="000000"/>
        </w:rPr>
        <w:t>Its progress against the desired outcomes agreed with its partners and communities</w:t>
      </w:r>
    </w:p>
    <w:p w14:paraId="2AC32313" w14:textId="77777777" w:rsidR="00E465E2" w:rsidRPr="00233108" w:rsidRDefault="00E465E2" w:rsidP="00E465E2">
      <w:pPr>
        <w:numPr>
          <w:ilvl w:val="0"/>
          <w:numId w:val="4"/>
        </w:numPr>
        <w:autoSpaceDE w:val="0"/>
        <w:autoSpaceDN w:val="0"/>
        <w:adjustRightInd w:val="0"/>
        <w:spacing w:before="0" w:after="0"/>
        <w:rPr>
          <w:rFonts w:ascii="Arial" w:eastAsia="Times New Roman" w:hAnsi="Arial" w:cs="Arial"/>
          <w:color w:val="000000"/>
        </w:rPr>
      </w:pPr>
      <w:r w:rsidRPr="008B68FE">
        <w:rPr>
          <w:rFonts w:ascii="Arial" w:eastAsia="Times New Roman" w:hAnsi="Arial" w:cs="Arial"/>
          <w:color w:val="000000"/>
        </w:rPr>
        <w:t>Its performance in comparison (i) over time and (ii) with other similar bodies including information drawn down from LGBF in particular and from other benchmarking activities</w:t>
      </w:r>
    </w:p>
    <w:p w14:paraId="1B254B66" w14:textId="77777777" w:rsidR="00E465E2" w:rsidRPr="008B68FE" w:rsidRDefault="00E465E2" w:rsidP="00E465E2">
      <w:pPr>
        <w:numPr>
          <w:ilvl w:val="0"/>
          <w:numId w:val="4"/>
        </w:numPr>
        <w:spacing w:before="0" w:after="0"/>
        <w:rPr>
          <w:rFonts w:ascii="Arial" w:eastAsia="Times New Roman" w:hAnsi="Arial" w:cs="Arial"/>
          <w:color w:val="000000"/>
        </w:rPr>
      </w:pPr>
      <w:r w:rsidRPr="008B68FE">
        <w:rPr>
          <w:rFonts w:ascii="Arial" w:eastAsia="Times New Roman" w:hAnsi="Arial" w:cs="Arial"/>
          <w:color w:val="000000"/>
        </w:rPr>
        <w:t>Its assessment of how it is performing against its duty of Best Value, and how it plans to improve against this assessment</w:t>
      </w:r>
      <w:r>
        <w:rPr>
          <w:rFonts w:ascii="Arial" w:eastAsia="Times New Roman" w:hAnsi="Arial" w:cs="Arial"/>
          <w:color w:val="000000"/>
        </w:rPr>
        <w:t>.</w:t>
      </w:r>
    </w:p>
    <w:p w14:paraId="00CA4414" w14:textId="77777777" w:rsidR="00E465E2" w:rsidRDefault="00E465E2" w:rsidP="00E465E2">
      <w:pPr>
        <w:pStyle w:val="NumberedList3"/>
        <w:rPr>
          <w:highlight w:val="yellow"/>
        </w:rPr>
      </w:pPr>
    </w:p>
    <w:p w14:paraId="6AA25355" w14:textId="77777777" w:rsidR="00E465E2" w:rsidRPr="00AF1BCF" w:rsidRDefault="00E465E2" w:rsidP="00E465E2">
      <w:pPr>
        <w:pStyle w:val="NumberedList3"/>
        <w:rPr>
          <w:color w:val="FF0000"/>
        </w:rPr>
      </w:pPr>
      <w:r w:rsidRPr="005827C5">
        <w:t>Below is a Link to the Direction Statutory Performance Indicators (revised) published in December 2021: -</w:t>
      </w:r>
    </w:p>
    <w:p w14:paraId="7063DA30" w14:textId="77777777" w:rsidR="00E465E2" w:rsidRPr="005827C5" w:rsidRDefault="00FB376E" w:rsidP="00E465E2">
      <w:pPr>
        <w:pStyle w:val="NumberedList3"/>
        <w:rPr>
          <w:highlight w:val="yellow"/>
        </w:rPr>
      </w:pPr>
      <w:hyperlink r:id="rId12" w:history="1">
        <w:r w:rsidR="00E465E2" w:rsidRPr="005827C5">
          <w:rPr>
            <w:rStyle w:val="Hyperlink"/>
            <w:rFonts w:ascii="Segoe UI" w:hAnsi="Segoe UI" w:cs="Segoe UI"/>
          </w:rPr>
          <w:t>https://www.audit-scotland.gov.uk/uploads/docs/um/spi_direction_2021.pdf</w:t>
        </w:r>
      </w:hyperlink>
      <w:r w:rsidR="00E465E2" w:rsidRPr="005827C5">
        <w:t xml:space="preserve"> </w:t>
      </w:r>
    </w:p>
    <w:p w14:paraId="41B667D6" w14:textId="77777777" w:rsidR="00E465E2" w:rsidRDefault="00E465E2" w:rsidP="00E465E2">
      <w:pPr>
        <w:pStyle w:val="NumberedList3"/>
        <w:rPr>
          <w:highlight w:val="yellow"/>
        </w:rPr>
      </w:pPr>
    </w:p>
    <w:p w14:paraId="0DBA5516" w14:textId="77777777" w:rsidR="00E465E2" w:rsidRPr="004B0B93" w:rsidRDefault="00E465E2" w:rsidP="00E465E2">
      <w:pPr>
        <w:pStyle w:val="Heading2"/>
        <w:numPr>
          <w:ilvl w:val="0"/>
          <w:numId w:val="5"/>
        </w:numPr>
        <w:tabs>
          <w:tab w:val="num" w:pos="360"/>
        </w:tabs>
        <w:spacing w:before="240" w:after="120"/>
        <w:ind w:left="0" w:firstLine="0"/>
        <w:rPr>
          <w:rFonts w:ascii="Arial" w:hAnsi="Arial" w:cs="Arial"/>
        </w:rPr>
      </w:pPr>
      <w:r>
        <w:rPr>
          <w:rFonts w:ascii="Arial" w:hAnsi="Arial" w:cs="Arial"/>
        </w:rPr>
        <w:t xml:space="preserve"> Performance Reporting</w:t>
      </w:r>
    </w:p>
    <w:p w14:paraId="405EE663" w14:textId="77777777" w:rsidR="00E465E2" w:rsidRPr="00142629" w:rsidRDefault="00E465E2" w:rsidP="00E856E5">
      <w:pPr>
        <w:pStyle w:val="NumberedList2"/>
        <w:numPr>
          <w:ilvl w:val="1"/>
          <w:numId w:val="5"/>
        </w:numPr>
        <w:ind w:left="720" w:hanging="720"/>
        <w:rPr>
          <w:rFonts w:ascii="Arial" w:hAnsi="Arial" w:cs="Arial"/>
        </w:rPr>
      </w:pPr>
      <w:r w:rsidRPr="00142629">
        <w:rPr>
          <w:rFonts w:ascii="Arial" w:hAnsi="Arial" w:cs="Arial"/>
        </w:rPr>
        <w:t>Appendix 1 to this report is presented in the form of a balanced scorecard covering the areas of LGBF/P4F, Customer, Resources and Service Operations. A current snapshot of Service Challenges is included along with a section on Risks.</w:t>
      </w:r>
    </w:p>
    <w:p w14:paraId="13B9430D" w14:textId="77777777" w:rsidR="00E465E2" w:rsidRPr="00142629" w:rsidRDefault="00E465E2" w:rsidP="00E856E5">
      <w:pPr>
        <w:pStyle w:val="NumberedList2"/>
        <w:numPr>
          <w:ilvl w:val="1"/>
          <w:numId w:val="5"/>
        </w:numPr>
        <w:ind w:left="720" w:hanging="720"/>
        <w:rPr>
          <w:rFonts w:ascii="Arial" w:hAnsi="Arial" w:cs="Arial"/>
        </w:rPr>
      </w:pPr>
      <w:r>
        <w:rPr>
          <w:rFonts w:ascii="Arial" w:hAnsi="Arial" w:cs="Arial"/>
        </w:rPr>
        <w:t>Overall t</w:t>
      </w:r>
      <w:r w:rsidRPr="00142629">
        <w:rPr>
          <w:rFonts w:ascii="Arial" w:hAnsi="Arial" w:cs="Arial"/>
        </w:rPr>
        <w:t xml:space="preserve">he Directorate is </w:t>
      </w:r>
      <w:r>
        <w:rPr>
          <w:rFonts w:ascii="Arial" w:hAnsi="Arial" w:cs="Arial"/>
        </w:rPr>
        <w:t>performing well</w:t>
      </w:r>
      <w:r w:rsidRPr="00142629">
        <w:rPr>
          <w:rFonts w:ascii="Arial" w:hAnsi="Arial" w:cs="Arial"/>
        </w:rPr>
        <w:t>, despite facing an increase in demand for support from other Directorates and the challenges associated with recruitment and retaining staff with the necessary skill set for specific roles.</w:t>
      </w:r>
    </w:p>
    <w:p w14:paraId="454E1074" w14:textId="77777777" w:rsidR="00E465E2" w:rsidRPr="00142629" w:rsidRDefault="00E465E2" w:rsidP="00E856E5">
      <w:pPr>
        <w:pStyle w:val="NumberedList2"/>
        <w:numPr>
          <w:ilvl w:val="1"/>
          <w:numId w:val="5"/>
        </w:numPr>
        <w:ind w:left="720" w:hanging="720"/>
        <w:rPr>
          <w:rFonts w:ascii="Arial" w:hAnsi="Arial" w:cs="Arial"/>
        </w:rPr>
      </w:pPr>
      <w:r w:rsidRPr="00142629">
        <w:rPr>
          <w:rFonts w:ascii="Arial" w:hAnsi="Arial" w:cs="Arial"/>
        </w:rPr>
        <w:t>Effective workforce planning for the Services in 2023/24 and beyond will be crucial to ensure challenges related to core skills development, recruitment and retention of the workforce are addressed.</w:t>
      </w:r>
    </w:p>
    <w:p w14:paraId="7936A86C" w14:textId="77777777" w:rsidR="00B675E4" w:rsidRDefault="00B675E4" w:rsidP="00B675E4">
      <w:pPr>
        <w:pStyle w:val="NumberedList2"/>
        <w:rPr>
          <w:rFonts w:ascii="Arial" w:hAnsi="Arial" w:cs="Arial"/>
        </w:rPr>
      </w:pPr>
    </w:p>
    <w:p w14:paraId="0AEE276F" w14:textId="77777777" w:rsidR="00B675E4" w:rsidRDefault="00B675E4" w:rsidP="00B675E4">
      <w:pPr>
        <w:pStyle w:val="Heading2"/>
        <w:numPr>
          <w:ilvl w:val="0"/>
          <w:numId w:val="5"/>
        </w:numPr>
        <w:tabs>
          <w:tab w:val="num" w:pos="360"/>
        </w:tabs>
        <w:spacing w:before="240" w:after="120"/>
        <w:ind w:left="0" w:firstLine="0"/>
      </w:pPr>
      <w:r>
        <w:t>Conclusion</w:t>
      </w:r>
    </w:p>
    <w:p w14:paraId="6D6B9627" w14:textId="77777777" w:rsidR="00B675E4" w:rsidRPr="005E51E5" w:rsidRDefault="00B675E4" w:rsidP="00B675E4">
      <w:pPr>
        <w:pStyle w:val="Default"/>
        <w:ind w:left="720" w:hanging="720"/>
        <w:rPr>
          <w:rFonts w:eastAsia="Times New Roman"/>
        </w:rPr>
      </w:pPr>
      <w:r w:rsidRPr="005E51E5">
        <w:rPr>
          <w:rFonts w:eastAsia="Times New Roman"/>
        </w:rPr>
        <w:t>3.1</w:t>
      </w:r>
      <w:r w:rsidRPr="005E51E5">
        <w:rPr>
          <w:rFonts w:eastAsia="Times New Roman"/>
        </w:rPr>
        <w:tab/>
        <w:t>In conclusion, the report highlights the positive performance of the Finance &amp; Corporate Services Directorate for the fiscal year 2022/23. There are ongoing actions in progress to address areas for improvement.</w:t>
      </w:r>
    </w:p>
    <w:p w14:paraId="57DE6C50" w14:textId="77777777" w:rsidR="00B675E4" w:rsidRPr="00142629" w:rsidRDefault="00B675E4" w:rsidP="00B675E4">
      <w:pPr>
        <w:pStyle w:val="NumberedList2"/>
        <w:rPr>
          <w:rFonts w:ascii="Arial" w:hAnsi="Arial" w:cs="Arial"/>
        </w:rPr>
      </w:pPr>
    </w:p>
    <w:p w14:paraId="5EDA1DF6" w14:textId="77777777" w:rsidR="00E465E2" w:rsidRPr="00E82861" w:rsidRDefault="00E465E2" w:rsidP="00E465E2">
      <w:pPr>
        <w:pStyle w:val="NumberedList2"/>
        <w:ind w:left="720"/>
      </w:pPr>
    </w:p>
    <w:p w14:paraId="70BC4ED1" w14:textId="77777777" w:rsidR="00E465E2" w:rsidRPr="00142629" w:rsidRDefault="00E465E2" w:rsidP="00E465E2">
      <w:pPr>
        <w:pStyle w:val="overviewheading"/>
        <w:spacing w:before="0"/>
        <w:rPr>
          <w:rFonts w:ascii="Arial" w:hAnsi="Arial" w:cs="Arial"/>
          <w:bCs/>
        </w:rPr>
      </w:pPr>
      <w:r w:rsidRPr="00142629">
        <w:rPr>
          <w:rFonts w:ascii="Arial" w:hAnsi="Arial" w:cs="Arial"/>
        </w:rPr>
        <w:t xml:space="preserve">List of Appendices / </w:t>
      </w:r>
      <w:r w:rsidRPr="00142629">
        <w:rPr>
          <w:rFonts w:ascii="Arial" w:hAnsi="Arial" w:cs="Arial"/>
          <w:bCs/>
        </w:rPr>
        <w:t>Appendix 1 – Finance &amp; Corporate Services Directorate Performance</w:t>
      </w:r>
    </w:p>
    <w:p w14:paraId="032889B6" w14:textId="77777777" w:rsidR="00E465E2" w:rsidRDefault="00E465E2" w:rsidP="00E465E2">
      <w:pPr>
        <w:pStyle w:val="BulletList"/>
      </w:pPr>
    </w:p>
    <w:p w14:paraId="4537C03E" w14:textId="054FF0BD" w:rsidR="00E465E2" w:rsidRPr="00D735D1" w:rsidRDefault="00E465E2" w:rsidP="00E465E2">
      <w:pPr>
        <w:pStyle w:val="BulletList"/>
      </w:pPr>
      <w:r w:rsidRPr="00870817">
        <w:t>Report Contact:</w:t>
      </w:r>
      <w:r>
        <w:t xml:space="preserve"> </w:t>
      </w:r>
      <w:r w:rsidRPr="00D735D1">
        <w:t>Eileen Rowand</w:t>
      </w:r>
    </w:p>
    <w:p w14:paraId="06D6DC0D" w14:textId="77777777" w:rsidR="00E465E2" w:rsidRPr="004B0B93" w:rsidRDefault="00E465E2" w:rsidP="00E465E2">
      <w:pPr>
        <w:spacing w:before="0" w:after="0"/>
        <w:rPr>
          <w:rFonts w:ascii="Arial" w:hAnsi="Arial" w:cs="Arial"/>
        </w:rPr>
      </w:pPr>
      <w:r w:rsidRPr="004B0B93">
        <w:rPr>
          <w:rFonts w:ascii="Arial" w:hAnsi="Arial" w:cs="Arial"/>
        </w:rPr>
        <w:t>Author Name</w:t>
      </w:r>
      <w:r>
        <w:rPr>
          <w:rFonts w:ascii="Arial" w:hAnsi="Arial" w:cs="Arial"/>
        </w:rPr>
        <w:t xml:space="preserve">: </w:t>
      </w:r>
      <w:r w:rsidRPr="00D735D1">
        <w:rPr>
          <w:rFonts w:ascii="Arial" w:hAnsi="Arial" w:cs="Arial"/>
        </w:rPr>
        <w:t>Eileen Rowand</w:t>
      </w:r>
    </w:p>
    <w:p w14:paraId="7BC49AD0" w14:textId="77777777" w:rsidR="00E465E2" w:rsidRPr="00D735D1" w:rsidRDefault="00E465E2" w:rsidP="00E465E2">
      <w:pPr>
        <w:spacing w:before="0" w:after="0"/>
        <w:rPr>
          <w:rFonts w:ascii="Arial" w:hAnsi="Arial" w:cs="Arial"/>
        </w:rPr>
      </w:pPr>
      <w:r w:rsidRPr="00D735D1">
        <w:rPr>
          <w:rFonts w:ascii="Arial" w:hAnsi="Arial" w:cs="Arial"/>
        </w:rPr>
        <w:t>Author’s Job Title: Executive Director</w:t>
      </w:r>
      <w:r>
        <w:rPr>
          <w:rFonts w:ascii="Arial" w:hAnsi="Arial" w:cs="Arial"/>
        </w:rPr>
        <w:t xml:space="preserve">, </w:t>
      </w:r>
      <w:r w:rsidRPr="00D735D1">
        <w:rPr>
          <w:rFonts w:ascii="Arial" w:hAnsi="Arial" w:cs="Arial"/>
        </w:rPr>
        <w:t>Finance and Corporate Services Directorate</w:t>
      </w:r>
    </w:p>
    <w:p w14:paraId="40741154" w14:textId="77777777" w:rsidR="00E465E2" w:rsidRDefault="00E465E2" w:rsidP="00E465E2">
      <w:pPr>
        <w:spacing w:before="0" w:after="0"/>
        <w:rPr>
          <w:rStyle w:val="Hyperlink"/>
          <w:rFonts w:ascii="Arial" w:hAnsi="Arial" w:cs="Arial"/>
          <w:b/>
        </w:rPr>
      </w:pPr>
      <w:r w:rsidRPr="00D735D1">
        <w:rPr>
          <w:rFonts w:ascii="Arial" w:hAnsi="Arial" w:cs="Arial"/>
        </w:rPr>
        <w:t>Email</w:t>
      </w:r>
      <w:r w:rsidRPr="00D735D1">
        <w:rPr>
          <w:rFonts w:ascii="Arial" w:hAnsi="Arial" w:cs="Arial"/>
          <w:b/>
          <w:bCs/>
        </w:rPr>
        <w:t xml:space="preserve">: </w:t>
      </w:r>
      <w:hyperlink r:id="rId13" w:history="1">
        <w:r w:rsidRPr="00D735D1">
          <w:rPr>
            <w:rStyle w:val="Hyperlink"/>
            <w:rFonts w:ascii="Arial" w:hAnsi="Arial" w:cs="Arial"/>
            <w:b/>
            <w:bCs/>
          </w:rPr>
          <w:t>Eileen.Rowand@fife.gov.uk</w:t>
        </w:r>
      </w:hyperlink>
    </w:p>
    <w:p w14:paraId="7C61BDA8" w14:textId="77777777" w:rsidR="00E367A0" w:rsidRDefault="00E367A0" w:rsidP="00E465E2">
      <w:pPr>
        <w:spacing w:before="0" w:after="0"/>
        <w:rPr>
          <w:rStyle w:val="Hyperlink"/>
          <w:rFonts w:ascii="Arial" w:hAnsi="Arial" w:cs="Arial"/>
          <w:b/>
          <w:bCs/>
        </w:rPr>
      </w:pPr>
    </w:p>
    <w:p w14:paraId="7348173D" w14:textId="77777777" w:rsidR="00E367A0" w:rsidRDefault="00E367A0" w:rsidP="00E465E2">
      <w:pPr>
        <w:spacing w:before="0" w:after="0"/>
        <w:rPr>
          <w:rStyle w:val="Hyperlink"/>
          <w:rFonts w:ascii="Arial" w:hAnsi="Arial" w:cs="Arial"/>
          <w:b/>
          <w:bCs/>
        </w:rPr>
      </w:pPr>
    </w:p>
    <w:p w14:paraId="1F44196E" w14:textId="77777777" w:rsidR="00E367A0" w:rsidRDefault="00E367A0" w:rsidP="00E465E2">
      <w:pPr>
        <w:spacing w:before="0" w:after="0"/>
        <w:rPr>
          <w:rStyle w:val="Hyperlink"/>
          <w:rFonts w:ascii="Arial" w:hAnsi="Arial" w:cs="Arial"/>
          <w:b/>
          <w:bCs/>
        </w:rPr>
      </w:pPr>
    </w:p>
    <w:p w14:paraId="4755C38D" w14:textId="77777777" w:rsidR="00E367A0" w:rsidRDefault="00E367A0" w:rsidP="00E465E2">
      <w:pPr>
        <w:spacing w:before="0" w:after="0"/>
        <w:rPr>
          <w:rStyle w:val="Hyperlink"/>
          <w:rFonts w:ascii="Arial" w:hAnsi="Arial" w:cs="Arial"/>
          <w:b/>
          <w:bCs/>
        </w:rPr>
      </w:pPr>
    </w:p>
    <w:p w14:paraId="5471C4E7" w14:textId="77777777" w:rsidR="00E367A0" w:rsidRDefault="00E367A0" w:rsidP="00E465E2">
      <w:pPr>
        <w:spacing w:before="0" w:after="0"/>
        <w:rPr>
          <w:rStyle w:val="Hyperlink"/>
          <w:rFonts w:ascii="Arial" w:hAnsi="Arial" w:cs="Arial"/>
          <w:b/>
          <w:bCs/>
        </w:rPr>
      </w:pPr>
    </w:p>
    <w:p w14:paraId="0F8612BA" w14:textId="77777777" w:rsidR="00E367A0" w:rsidRDefault="00E367A0" w:rsidP="00E465E2">
      <w:pPr>
        <w:spacing w:before="0" w:after="0"/>
        <w:rPr>
          <w:rStyle w:val="Hyperlink"/>
          <w:rFonts w:ascii="Arial" w:hAnsi="Arial" w:cs="Arial"/>
          <w:b/>
          <w:bCs/>
        </w:rPr>
      </w:pPr>
    </w:p>
    <w:p w14:paraId="1A28F025" w14:textId="77777777" w:rsidR="00E367A0" w:rsidRDefault="00E367A0" w:rsidP="00E465E2">
      <w:pPr>
        <w:spacing w:before="0" w:after="0"/>
        <w:rPr>
          <w:rStyle w:val="Hyperlink"/>
          <w:rFonts w:ascii="Arial" w:hAnsi="Arial" w:cs="Arial"/>
          <w:b/>
          <w:bCs/>
        </w:rPr>
      </w:pPr>
    </w:p>
    <w:p w14:paraId="7933A0B9" w14:textId="77777777" w:rsidR="00E367A0" w:rsidRDefault="00E367A0" w:rsidP="00E465E2">
      <w:pPr>
        <w:spacing w:before="0" w:after="0"/>
        <w:rPr>
          <w:rStyle w:val="Hyperlink"/>
          <w:rFonts w:ascii="Arial" w:hAnsi="Arial" w:cs="Arial"/>
          <w:b/>
          <w:bCs/>
        </w:rPr>
      </w:pPr>
    </w:p>
    <w:p w14:paraId="277CEB8E" w14:textId="77777777" w:rsidR="00E367A0" w:rsidRDefault="00E367A0" w:rsidP="00E465E2">
      <w:pPr>
        <w:spacing w:before="0" w:after="0"/>
        <w:rPr>
          <w:rStyle w:val="Hyperlink"/>
          <w:rFonts w:ascii="Arial" w:hAnsi="Arial" w:cs="Arial"/>
          <w:b/>
          <w:bCs/>
        </w:rPr>
      </w:pPr>
    </w:p>
    <w:p w14:paraId="15FCD2C8" w14:textId="77777777" w:rsidR="00E367A0" w:rsidRDefault="00E367A0" w:rsidP="00E465E2">
      <w:pPr>
        <w:spacing w:before="0" w:after="0"/>
        <w:rPr>
          <w:rStyle w:val="Hyperlink"/>
          <w:rFonts w:ascii="Arial" w:hAnsi="Arial" w:cs="Arial"/>
          <w:b/>
          <w:bCs/>
        </w:rPr>
      </w:pPr>
    </w:p>
    <w:p w14:paraId="6ACFE38D" w14:textId="77777777" w:rsidR="00E367A0" w:rsidRDefault="00E367A0" w:rsidP="00E465E2">
      <w:pPr>
        <w:spacing w:before="0" w:after="0"/>
        <w:rPr>
          <w:rStyle w:val="Hyperlink"/>
          <w:rFonts w:ascii="Arial" w:hAnsi="Arial" w:cs="Arial"/>
          <w:b/>
          <w:bCs/>
        </w:rPr>
      </w:pPr>
    </w:p>
    <w:p w14:paraId="3A78F385" w14:textId="77777777" w:rsidR="00E367A0" w:rsidRDefault="00E367A0" w:rsidP="00E465E2">
      <w:pPr>
        <w:spacing w:before="0" w:after="0"/>
        <w:rPr>
          <w:rStyle w:val="Hyperlink"/>
          <w:rFonts w:ascii="Arial" w:hAnsi="Arial" w:cs="Arial"/>
          <w:b/>
          <w:bCs/>
        </w:rPr>
      </w:pPr>
    </w:p>
    <w:p w14:paraId="549EE7FD" w14:textId="77777777" w:rsidR="00E367A0" w:rsidRDefault="00E367A0" w:rsidP="00E465E2">
      <w:pPr>
        <w:spacing w:before="0" w:after="0"/>
        <w:rPr>
          <w:rStyle w:val="Hyperlink"/>
          <w:rFonts w:ascii="Arial" w:hAnsi="Arial" w:cs="Arial"/>
          <w:b/>
          <w:bCs/>
        </w:rPr>
      </w:pPr>
    </w:p>
    <w:p w14:paraId="1FA42FE2" w14:textId="77777777" w:rsidR="00E367A0" w:rsidRDefault="00E367A0" w:rsidP="00E465E2">
      <w:pPr>
        <w:spacing w:before="0" w:after="0"/>
        <w:rPr>
          <w:rStyle w:val="Hyperlink"/>
          <w:rFonts w:ascii="Arial" w:hAnsi="Arial" w:cs="Arial"/>
          <w:b/>
          <w:bCs/>
        </w:rPr>
      </w:pPr>
    </w:p>
    <w:p w14:paraId="045D915F" w14:textId="77777777" w:rsidR="00E367A0" w:rsidRDefault="00E367A0" w:rsidP="00E465E2">
      <w:pPr>
        <w:spacing w:before="0" w:after="0"/>
        <w:rPr>
          <w:rStyle w:val="Hyperlink"/>
          <w:rFonts w:ascii="Arial" w:hAnsi="Arial" w:cs="Arial"/>
          <w:b/>
          <w:bCs/>
        </w:rPr>
      </w:pPr>
    </w:p>
    <w:p w14:paraId="258BD57A" w14:textId="77777777" w:rsidR="00E367A0" w:rsidRDefault="00E367A0" w:rsidP="00E465E2">
      <w:pPr>
        <w:spacing w:before="0" w:after="0"/>
        <w:rPr>
          <w:rStyle w:val="Hyperlink"/>
          <w:rFonts w:ascii="Arial" w:hAnsi="Arial" w:cs="Arial"/>
          <w:b/>
          <w:bCs/>
        </w:rPr>
      </w:pPr>
    </w:p>
    <w:p w14:paraId="362ED0EE" w14:textId="77777777" w:rsidR="00E367A0" w:rsidRDefault="00E367A0" w:rsidP="00E465E2">
      <w:pPr>
        <w:spacing w:before="0" w:after="0"/>
        <w:rPr>
          <w:rStyle w:val="Hyperlink"/>
          <w:rFonts w:ascii="Arial" w:hAnsi="Arial" w:cs="Arial"/>
          <w:b/>
          <w:bCs/>
        </w:rPr>
      </w:pPr>
    </w:p>
    <w:p w14:paraId="785FB997" w14:textId="77777777" w:rsidR="00E367A0" w:rsidRDefault="00E367A0" w:rsidP="00E465E2">
      <w:pPr>
        <w:spacing w:before="0" w:after="0"/>
        <w:rPr>
          <w:rStyle w:val="Hyperlink"/>
          <w:rFonts w:ascii="Arial" w:hAnsi="Arial" w:cs="Arial"/>
          <w:b/>
          <w:bCs/>
        </w:rPr>
      </w:pPr>
    </w:p>
    <w:p w14:paraId="758CFBD0" w14:textId="77777777" w:rsidR="00E367A0" w:rsidRDefault="00E367A0" w:rsidP="00E465E2">
      <w:pPr>
        <w:spacing w:before="0" w:after="0"/>
        <w:rPr>
          <w:rStyle w:val="Hyperlink"/>
          <w:rFonts w:ascii="Arial" w:hAnsi="Arial" w:cs="Arial"/>
          <w:b/>
          <w:bCs/>
        </w:rPr>
      </w:pPr>
    </w:p>
    <w:p w14:paraId="2D479228" w14:textId="77777777" w:rsidR="00E367A0" w:rsidRDefault="00E367A0" w:rsidP="00E465E2">
      <w:pPr>
        <w:spacing w:before="0" w:after="0"/>
        <w:rPr>
          <w:rStyle w:val="Hyperlink"/>
          <w:rFonts w:ascii="Arial" w:hAnsi="Arial" w:cs="Arial"/>
          <w:b/>
          <w:bCs/>
        </w:rPr>
      </w:pPr>
    </w:p>
    <w:p w14:paraId="0E894D7D" w14:textId="77777777" w:rsidR="00E367A0" w:rsidRDefault="00E367A0" w:rsidP="00E465E2">
      <w:pPr>
        <w:spacing w:before="0" w:after="0"/>
        <w:rPr>
          <w:rStyle w:val="Hyperlink"/>
          <w:rFonts w:ascii="Arial" w:hAnsi="Arial" w:cs="Arial"/>
          <w:b/>
          <w:bCs/>
        </w:rPr>
      </w:pPr>
    </w:p>
    <w:p w14:paraId="5CD60724" w14:textId="77777777" w:rsidR="00E367A0" w:rsidRPr="00AF1BCF" w:rsidRDefault="00E367A0" w:rsidP="00E465E2">
      <w:pPr>
        <w:spacing w:before="0" w:after="0"/>
        <w:rPr>
          <w:rFonts w:ascii="Arial" w:hAnsi="Arial" w:cs="Arial"/>
          <w:b/>
          <w:bCs/>
          <w:color w:val="0000FF"/>
          <w:u w:val="single"/>
        </w:rPr>
      </w:pPr>
    </w:p>
    <w:p w14:paraId="093B3EA9" w14:textId="77777777" w:rsidR="00E367A0" w:rsidRDefault="00E367A0" w:rsidP="00E465E2">
      <w:pPr>
        <w:spacing w:before="0" w:after="0"/>
        <w:rPr>
          <w:rFonts w:ascii="Arial" w:hAnsi="Arial" w:cs="Arial"/>
          <w:b/>
          <w:bCs/>
        </w:rPr>
      </w:pPr>
    </w:p>
    <w:p w14:paraId="5C206DB1" w14:textId="77777777" w:rsidR="00E367A0" w:rsidRDefault="00E367A0" w:rsidP="00E465E2">
      <w:pPr>
        <w:spacing w:before="0" w:after="0"/>
        <w:rPr>
          <w:rFonts w:ascii="Arial" w:hAnsi="Arial" w:cs="Arial"/>
          <w:b/>
          <w:bCs/>
        </w:rPr>
      </w:pPr>
    </w:p>
    <w:p w14:paraId="68BCD530" w14:textId="77777777" w:rsidR="00E367A0" w:rsidRDefault="00E367A0" w:rsidP="00E465E2">
      <w:pPr>
        <w:spacing w:before="0" w:after="0"/>
        <w:rPr>
          <w:rFonts w:ascii="Arial" w:hAnsi="Arial" w:cs="Arial"/>
          <w:b/>
          <w:bCs/>
        </w:rPr>
      </w:pPr>
    </w:p>
    <w:p w14:paraId="004B5A81" w14:textId="77777777" w:rsidR="00E367A0" w:rsidRDefault="00E367A0" w:rsidP="00E465E2">
      <w:pPr>
        <w:spacing w:before="0" w:after="0"/>
        <w:rPr>
          <w:rFonts w:ascii="Arial" w:hAnsi="Arial" w:cs="Arial"/>
          <w:b/>
          <w:bCs/>
        </w:rPr>
      </w:pPr>
    </w:p>
    <w:p w14:paraId="3B73F72A" w14:textId="77777777" w:rsidR="00E367A0" w:rsidRDefault="00E367A0" w:rsidP="00E465E2">
      <w:pPr>
        <w:spacing w:before="0" w:after="0"/>
        <w:rPr>
          <w:rFonts w:ascii="Arial" w:hAnsi="Arial" w:cs="Arial"/>
          <w:b/>
          <w:bCs/>
        </w:rPr>
      </w:pPr>
    </w:p>
    <w:p w14:paraId="5CE25124" w14:textId="77777777" w:rsidR="00E367A0" w:rsidRDefault="00E367A0" w:rsidP="00E465E2">
      <w:pPr>
        <w:spacing w:before="0" w:after="0"/>
        <w:rPr>
          <w:rFonts w:ascii="Arial" w:hAnsi="Arial" w:cs="Arial"/>
          <w:b/>
          <w:bCs/>
        </w:rPr>
      </w:pPr>
    </w:p>
    <w:p w14:paraId="1A4F135A" w14:textId="77777777" w:rsidR="00E367A0" w:rsidRDefault="00E367A0" w:rsidP="00E465E2">
      <w:pPr>
        <w:spacing w:before="0" w:after="0"/>
        <w:rPr>
          <w:rFonts w:ascii="Arial" w:hAnsi="Arial" w:cs="Arial"/>
          <w:b/>
          <w:bCs/>
        </w:rPr>
      </w:pPr>
    </w:p>
    <w:p w14:paraId="11740F61" w14:textId="77777777" w:rsidR="00E367A0" w:rsidRDefault="00E367A0" w:rsidP="00E465E2">
      <w:pPr>
        <w:spacing w:before="0" w:after="0"/>
        <w:rPr>
          <w:rFonts w:ascii="Arial" w:hAnsi="Arial" w:cs="Arial"/>
          <w:b/>
          <w:bCs/>
        </w:rPr>
      </w:pPr>
    </w:p>
    <w:p w14:paraId="119B2301" w14:textId="77777777" w:rsidR="00E367A0" w:rsidRDefault="00E367A0" w:rsidP="00E465E2">
      <w:pPr>
        <w:spacing w:before="0" w:after="0"/>
        <w:rPr>
          <w:rFonts w:ascii="Arial" w:hAnsi="Arial" w:cs="Arial"/>
          <w:b/>
          <w:bCs/>
        </w:rPr>
      </w:pPr>
    </w:p>
    <w:p w14:paraId="4E9F6631" w14:textId="77777777" w:rsidR="00E367A0" w:rsidRDefault="00E367A0" w:rsidP="00E465E2">
      <w:pPr>
        <w:spacing w:before="0" w:after="0"/>
        <w:rPr>
          <w:rFonts w:ascii="Arial" w:hAnsi="Arial" w:cs="Arial"/>
          <w:b/>
          <w:bCs/>
        </w:rPr>
      </w:pPr>
    </w:p>
    <w:p w14:paraId="75F0F455" w14:textId="77777777" w:rsidR="00E367A0" w:rsidRDefault="00E367A0" w:rsidP="00E465E2">
      <w:pPr>
        <w:spacing w:before="0" w:after="0"/>
        <w:rPr>
          <w:rFonts w:ascii="Arial" w:hAnsi="Arial" w:cs="Arial"/>
          <w:b/>
          <w:bCs/>
        </w:rPr>
      </w:pPr>
    </w:p>
    <w:p w14:paraId="4C9AD91B" w14:textId="77777777" w:rsidR="00E367A0" w:rsidRDefault="00E367A0" w:rsidP="00E465E2">
      <w:pPr>
        <w:spacing w:before="0" w:after="0"/>
        <w:rPr>
          <w:rFonts w:ascii="Arial" w:hAnsi="Arial" w:cs="Arial"/>
          <w:b/>
          <w:bCs/>
        </w:rPr>
      </w:pPr>
    </w:p>
    <w:p w14:paraId="4F35F951" w14:textId="77777777" w:rsidR="00E367A0" w:rsidRDefault="00E367A0" w:rsidP="00E465E2">
      <w:pPr>
        <w:spacing w:before="0" w:after="0"/>
        <w:rPr>
          <w:rFonts w:ascii="Arial" w:hAnsi="Arial" w:cs="Arial"/>
          <w:b/>
          <w:bCs/>
        </w:rPr>
      </w:pPr>
    </w:p>
    <w:p w14:paraId="784ABF41" w14:textId="77777777" w:rsidR="00E367A0" w:rsidRDefault="00E367A0" w:rsidP="00E465E2">
      <w:pPr>
        <w:spacing w:before="0" w:after="0"/>
        <w:rPr>
          <w:rFonts w:ascii="Arial" w:hAnsi="Arial" w:cs="Arial"/>
          <w:b/>
          <w:bCs/>
        </w:rPr>
      </w:pPr>
    </w:p>
    <w:p w14:paraId="734CD966" w14:textId="77777777" w:rsidR="00E367A0" w:rsidRDefault="00E367A0" w:rsidP="00E465E2">
      <w:pPr>
        <w:spacing w:before="0" w:after="0"/>
        <w:rPr>
          <w:rFonts w:ascii="Arial" w:hAnsi="Arial" w:cs="Arial"/>
          <w:b/>
          <w:bCs/>
        </w:rPr>
      </w:pPr>
    </w:p>
    <w:p w14:paraId="4D3DEFA8" w14:textId="77777777" w:rsidR="00E367A0" w:rsidRDefault="00E367A0" w:rsidP="00E465E2">
      <w:pPr>
        <w:spacing w:before="0" w:after="0"/>
        <w:rPr>
          <w:rFonts w:ascii="Arial" w:hAnsi="Arial" w:cs="Arial"/>
          <w:b/>
          <w:bCs/>
        </w:rPr>
      </w:pPr>
    </w:p>
    <w:p w14:paraId="4F6B955C" w14:textId="77777777" w:rsidR="00E367A0" w:rsidRDefault="00E367A0" w:rsidP="00E465E2">
      <w:pPr>
        <w:spacing w:before="0" w:after="0"/>
        <w:rPr>
          <w:rFonts w:ascii="Arial" w:hAnsi="Arial" w:cs="Arial"/>
          <w:b/>
          <w:bCs/>
        </w:rPr>
      </w:pPr>
    </w:p>
    <w:p w14:paraId="5E18515C" w14:textId="77777777" w:rsidR="00E367A0" w:rsidRDefault="00E367A0" w:rsidP="00E465E2">
      <w:pPr>
        <w:spacing w:before="0" w:after="0"/>
        <w:rPr>
          <w:rFonts w:ascii="Arial" w:hAnsi="Arial" w:cs="Arial"/>
          <w:b/>
          <w:bCs/>
        </w:rPr>
      </w:pPr>
    </w:p>
    <w:p w14:paraId="2EE888D6" w14:textId="77777777" w:rsidR="00E367A0" w:rsidRDefault="00E367A0" w:rsidP="00E465E2">
      <w:pPr>
        <w:spacing w:before="0" w:after="0"/>
        <w:rPr>
          <w:rFonts w:ascii="Arial" w:hAnsi="Arial" w:cs="Arial"/>
          <w:b/>
          <w:bCs/>
        </w:rPr>
      </w:pPr>
    </w:p>
    <w:p w14:paraId="1CFE1C10" w14:textId="77777777" w:rsidR="00E367A0" w:rsidRDefault="00E367A0" w:rsidP="00E465E2">
      <w:pPr>
        <w:spacing w:before="0" w:after="0"/>
        <w:rPr>
          <w:rFonts w:ascii="Arial" w:hAnsi="Arial" w:cs="Arial"/>
          <w:b/>
          <w:bCs/>
        </w:rPr>
      </w:pPr>
    </w:p>
    <w:p w14:paraId="4EC7437B" w14:textId="77777777" w:rsidR="001E393D" w:rsidRDefault="001E393D" w:rsidP="00E465E2">
      <w:pPr>
        <w:spacing w:before="0" w:after="0"/>
        <w:rPr>
          <w:rFonts w:ascii="Arial" w:hAnsi="Arial" w:cs="Arial"/>
          <w:b/>
          <w:bCs/>
        </w:rPr>
      </w:pPr>
    </w:p>
    <w:p w14:paraId="0FBF3658" w14:textId="77777777" w:rsidR="001E393D" w:rsidRDefault="001E393D" w:rsidP="00E465E2">
      <w:pPr>
        <w:spacing w:before="0" w:after="0"/>
        <w:rPr>
          <w:rFonts w:ascii="Arial" w:hAnsi="Arial" w:cs="Arial"/>
          <w:b/>
          <w:bCs/>
        </w:rPr>
      </w:pPr>
    </w:p>
    <w:p w14:paraId="734B4D95" w14:textId="77777777" w:rsidR="00E367A0" w:rsidRDefault="00E367A0" w:rsidP="00E465E2">
      <w:pPr>
        <w:spacing w:before="0" w:after="0"/>
        <w:rPr>
          <w:rFonts w:ascii="Arial" w:hAnsi="Arial" w:cs="Arial"/>
          <w:b/>
          <w:bCs/>
        </w:rPr>
      </w:pPr>
    </w:p>
    <w:p w14:paraId="3EA991D3" w14:textId="77777777" w:rsidR="00176EF3" w:rsidRDefault="00176EF3" w:rsidP="00E465E2">
      <w:pPr>
        <w:spacing w:before="0" w:after="0"/>
        <w:rPr>
          <w:rFonts w:ascii="Arial" w:hAnsi="Arial" w:cs="Arial"/>
          <w:b/>
          <w:bCs/>
        </w:rPr>
      </w:pPr>
    </w:p>
    <w:p w14:paraId="23B4E210" w14:textId="77777777" w:rsidR="00176EF3" w:rsidRDefault="00176EF3" w:rsidP="00E465E2">
      <w:pPr>
        <w:spacing w:before="0" w:after="0"/>
        <w:rPr>
          <w:rFonts w:ascii="Arial" w:hAnsi="Arial" w:cs="Arial"/>
          <w:b/>
          <w:bCs/>
        </w:rPr>
      </w:pPr>
    </w:p>
    <w:p w14:paraId="434BEB10" w14:textId="77777777" w:rsidR="00E367A0" w:rsidRDefault="00E367A0" w:rsidP="00E465E2">
      <w:pPr>
        <w:spacing w:before="0" w:after="0"/>
        <w:rPr>
          <w:rFonts w:ascii="Arial" w:hAnsi="Arial" w:cs="Arial"/>
          <w:b/>
          <w:bCs/>
        </w:rPr>
      </w:pPr>
    </w:p>
    <w:p w14:paraId="00099BA5" w14:textId="55014E0C" w:rsidR="00E465E2" w:rsidRPr="00193C2E" w:rsidRDefault="00E465E2" w:rsidP="00193C2E">
      <w:pPr>
        <w:spacing w:before="0" w:after="0"/>
        <w:rPr>
          <w:rFonts w:ascii="Arial" w:hAnsi="Arial" w:cs="Arial"/>
          <w:b/>
          <w:bCs/>
        </w:rPr>
      </w:pPr>
      <w:r>
        <w:rPr>
          <w:rFonts w:ascii="Arial" w:hAnsi="Arial" w:cs="Arial"/>
          <w:b/>
          <w:bCs/>
        </w:rPr>
        <w:lastRenderedPageBreak/>
        <w:t>Appendix 1- Finance &amp; Corporate Services Directorate Performance</w:t>
      </w:r>
    </w:p>
    <w:tbl>
      <w:tblPr>
        <w:tblW w:w="10305"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0213"/>
        <w:gridCol w:w="92"/>
      </w:tblGrid>
      <w:tr w:rsidR="00E465E2" w:rsidRPr="00BB7B76" w14:paraId="48FCF0A2" w14:textId="77777777" w:rsidTr="00F00E02">
        <w:trPr>
          <w:gridAfter w:val="1"/>
          <w:wAfter w:w="92" w:type="dxa"/>
          <w:trHeight w:val="338"/>
        </w:trPr>
        <w:tc>
          <w:tcPr>
            <w:tcW w:w="10213" w:type="dxa"/>
            <w:shd w:val="clear" w:color="auto" w:fill="4472C4" w:themeFill="accent1"/>
          </w:tcPr>
          <w:p w14:paraId="0BA4B694" w14:textId="77777777" w:rsidR="00E465E2" w:rsidRDefault="00E465E2">
            <w:pPr>
              <w:jc w:val="center"/>
              <w:rPr>
                <w:b/>
                <w:bCs/>
                <w:color w:val="FFFFFF"/>
                <w:sz w:val="28"/>
                <w:szCs w:val="28"/>
              </w:rPr>
            </w:pPr>
            <w:r>
              <w:rPr>
                <w:b/>
                <w:bCs/>
                <w:color w:val="FFFFFF"/>
                <w:sz w:val="28"/>
                <w:szCs w:val="28"/>
              </w:rPr>
              <w:t>FINANCE &amp; CORPORATE SERVICES</w:t>
            </w:r>
          </w:p>
        </w:tc>
      </w:tr>
      <w:tr w:rsidR="00E465E2" w:rsidRPr="00BB7B76" w14:paraId="21EE58B8" w14:textId="77777777" w:rsidTr="00F00E02">
        <w:trPr>
          <w:gridAfter w:val="1"/>
          <w:wAfter w:w="92" w:type="dxa"/>
          <w:trHeight w:val="2263"/>
        </w:trPr>
        <w:tc>
          <w:tcPr>
            <w:tcW w:w="10213" w:type="dxa"/>
            <w:shd w:val="clear" w:color="auto" w:fill="auto"/>
          </w:tcPr>
          <w:p w14:paraId="558DE475" w14:textId="0AAE27C7" w:rsidR="005D7F47" w:rsidRPr="003106FC" w:rsidRDefault="00E465E2" w:rsidP="005D7F47">
            <w:pPr>
              <w:pStyle w:val="ListParagraph"/>
              <w:spacing w:before="120"/>
              <w:ind w:left="0" w:right="-623"/>
              <w:jc w:val="center"/>
              <w:rPr>
                <w:b/>
                <w:sz w:val="28"/>
                <w:szCs w:val="28"/>
              </w:rPr>
            </w:pPr>
            <w:r>
              <w:rPr>
                <w:b/>
                <w:sz w:val="28"/>
                <w:szCs w:val="28"/>
              </w:rPr>
              <w:t>Current Challenges &amp; Priorities</w:t>
            </w:r>
          </w:p>
          <w:p w14:paraId="560ADC72" w14:textId="72F427F7" w:rsidR="005D7F47" w:rsidRDefault="00E465E2">
            <w:pPr>
              <w:rPr>
                <w:rFonts w:ascii="Arial" w:hAnsi="Arial" w:cs="Arial"/>
                <w:szCs w:val="24"/>
              </w:rPr>
            </w:pPr>
            <w:r>
              <w:rPr>
                <w:rFonts w:ascii="Arial" w:hAnsi="Arial" w:cs="Arial"/>
                <w:szCs w:val="24"/>
              </w:rPr>
              <w:t>Key challenges over the past year include:</w:t>
            </w:r>
          </w:p>
          <w:p w14:paraId="2776E30A" w14:textId="0533F68C" w:rsidR="00E465E2" w:rsidRDefault="00E465E2" w:rsidP="005D7F47">
            <w:pPr>
              <w:pStyle w:val="ListParagraph"/>
              <w:numPr>
                <w:ilvl w:val="0"/>
                <w:numId w:val="6"/>
              </w:numPr>
              <w:contextualSpacing/>
              <w:rPr>
                <w:rFonts w:ascii="Arial" w:eastAsia="Arial" w:hAnsi="Arial" w:cs="Arial"/>
                <w:sz w:val="24"/>
                <w:szCs w:val="24"/>
              </w:rPr>
            </w:pPr>
            <w:r>
              <w:rPr>
                <w:rFonts w:ascii="Arial" w:eastAsia="Arial" w:hAnsi="Arial" w:cs="Arial"/>
                <w:color w:val="000000"/>
                <w:sz w:val="24"/>
                <w:szCs w:val="24"/>
              </w:rPr>
              <w:t xml:space="preserve">Demand currently exceeds resource levels and </w:t>
            </w:r>
            <w:r>
              <w:rPr>
                <w:rFonts w:ascii="Arial" w:eastAsia="Arial" w:hAnsi="Arial" w:cs="Arial"/>
                <w:sz w:val="24"/>
                <w:szCs w:val="24"/>
              </w:rPr>
              <w:t xml:space="preserve">capacity. Priorities, based on the future organisational model adopted and change agenda, will need to be reviewed in line with resources, capacity and risk areas. </w:t>
            </w:r>
            <w:r w:rsidR="002F419D" w:rsidRPr="00322FDB">
              <w:rPr>
                <w:rFonts w:ascii="Arial" w:eastAsia="Arial" w:hAnsi="Arial" w:cs="Arial"/>
                <w:sz w:val="24"/>
                <w:szCs w:val="24"/>
              </w:rPr>
              <w:t xml:space="preserve">Given the financial challenge the </w:t>
            </w:r>
            <w:r w:rsidR="002F419D">
              <w:rPr>
                <w:rFonts w:ascii="Arial" w:eastAsia="Arial" w:hAnsi="Arial" w:cs="Arial"/>
                <w:sz w:val="24"/>
                <w:szCs w:val="24"/>
              </w:rPr>
              <w:t xml:space="preserve">Council </w:t>
            </w:r>
            <w:r w:rsidR="00AD03DB">
              <w:rPr>
                <w:rFonts w:ascii="Arial" w:eastAsia="Arial" w:hAnsi="Arial" w:cs="Arial"/>
                <w:sz w:val="24"/>
                <w:szCs w:val="24"/>
              </w:rPr>
              <w:t>faces, we</w:t>
            </w:r>
            <w:r>
              <w:rPr>
                <w:rFonts w:ascii="Arial" w:eastAsia="Arial" w:hAnsi="Arial" w:cs="Arial"/>
                <w:sz w:val="24"/>
                <w:szCs w:val="24"/>
              </w:rPr>
              <w:t xml:space="preserve"> anticipate a need </w:t>
            </w:r>
            <w:r w:rsidR="00CB28BD">
              <w:rPr>
                <w:rFonts w:ascii="Arial" w:eastAsia="Arial" w:hAnsi="Arial" w:cs="Arial"/>
                <w:sz w:val="24"/>
                <w:szCs w:val="24"/>
              </w:rPr>
              <w:t xml:space="preserve">to reduce </w:t>
            </w:r>
            <w:r w:rsidR="000D391F">
              <w:rPr>
                <w:rFonts w:ascii="Arial" w:eastAsia="Arial" w:hAnsi="Arial" w:cs="Arial"/>
                <w:sz w:val="24"/>
                <w:szCs w:val="24"/>
              </w:rPr>
              <w:t xml:space="preserve">the </w:t>
            </w:r>
            <w:r w:rsidR="00CB28BD">
              <w:rPr>
                <w:rFonts w:ascii="Arial" w:eastAsia="Arial" w:hAnsi="Arial" w:cs="Arial"/>
                <w:sz w:val="24"/>
                <w:szCs w:val="24"/>
              </w:rPr>
              <w:t>workforce</w:t>
            </w:r>
            <w:r w:rsidR="000D391F">
              <w:rPr>
                <w:rFonts w:ascii="Arial" w:eastAsia="Arial" w:hAnsi="Arial" w:cs="Arial"/>
                <w:sz w:val="24"/>
                <w:szCs w:val="24"/>
              </w:rPr>
              <w:t xml:space="preserve"> and we may need to use</w:t>
            </w:r>
            <w:r>
              <w:rPr>
                <w:rFonts w:ascii="Arial" w:eastAsia="Arial" w:hAnsi="Arial" w:cs="Arial"/>
                <w:sz w:val="24"/>
                <w:szCs w:val="24"/>
              </w:rPr>
              <w:t xml:space="preserve"> NOIs to manage any staffing reduction balanced with maintaining critical skills, if possible, whilst delivering required financial savings.  Additional challenge from growth areas where there is both temporary and permanent investment (equal pay project team and attendance support unit).</w:t>
            </w:r>
          </w:p>
          <w:p w14:paraId="70ED83EC" w14:textId="77777777" w:rsidR="005D7F47" w:rsidRPr="005D7F47" w:rsidRDefault="005D7F47" w:rsidP="005D7F47">
            <w:pPr>
              <w:pStyle w:val="ListParagraph"/>
              <w:contextualSpacing/>
              <w:rPr>
                <w:rFonts w:ascii="Arial" w:eastAsia="Arial" w:hAnsi="Arial" w:cs="Arial"/>
                <w:sz w:val="24"/>
                <w:szCs w:val="24"/>
              </w:rPr>
            </w:pPr>
          </w:p>
          <w:p w14:paraId="16F0C2EA" w14:textId="77777777" w:rsidR="00E465E2" w:rsidRDefault="00E465E2" w:rsidP="00E465E2">
            <w:pPr>
              <w:pStyle w:val="ListParagraph"/>
              <w:numPr>
                <w:ilvl w:val="0"/>
                <w:numId w:val="6"/>
              </w:numPr>
              <w:contextualSpacing/>
              <w:rPr>
                <w:rFonts w:ascii="Arial" w:eastAsia="Arial" w:hAnsi="Arial" w:cs="Arial"/>
                <w:color w:val="000000"/>
                <w:sz w:val="24"/>
                <w:szCs w:val="24"/>
              </w:rPr>
            </w:pPr>
            <w:r>
              <w:rPr>
                <w:rFonts w:ascii="Arial" w:eastAsia="Arial" w:hAnsi="Arial" w:cs="Arial"/>
                <w:color w:val="000000"/>
                <w:sz w:val="24"/>
                <w:szCs w:val="24"/>
              </w:rPr>
              <w:t xml:space="preserve">There are </w:t>
            </w:r>
            <w:r>
              <w:rPr>
                <w:rStyle w:val="normaltextrun"/>
                <w:rFonts w:ascii="Arial" w:eastAsia="Arial" w:hAnsi="Arial" w:cs="Arial"/>
                <w:sz w:val="24"/>
                <w:szCs w:val="24"/>
              </w:rPr>
              <w:t>a significant number of workforce issues facing the Council and the Directorate both supports work on these and manages the impact for the Directorate. Work around our pay strategy including significant support for equal pay work; recruitment; absence management including the development of the Attendance Support Unit, health &amp; safety and ensuring the wellbeing of employees are critical activities where there is a strong focus.</w:t>
            </w:r>
            <w:r>
              <w:rPr>
                <w:rFonts w:ascii="Arial" w:eastAsia="Arial" w:hAnsi="Arial" w:cs="Arial"/>
                <w:color w:val="000000"/>
                <w:sz w:val="24"/>
                <w:szCs w:val="24"/>
              </w:rPr>
              <w:t xml:space="preserve"> </w:t>
            </w:r>
          </w:p>
          <w:p w14:paraId="2D723B0A" w14:textId="77777777" w:rsidR="00E465E2" w:rsidRDefault="00E465E2">
            <w:pPr>
              <w:pStyle w:val="ListParagraph"/>
              <w:contextualSpacing/>
              <w:rPr>
                <w:rStyle w:val="normaltextrun"/>
                <w:rFonts w:ascii="Arial" w:eastAsia="Arial" w:hAnsi="Arial" w:cs="Arial"/>
                <w:sz w:val="24"/>
                <w:szCs w:val="24"/>
              </w:rPr>
            </w:pPr>
          </w:p>
          <w:p w14:paraId="779AE503" w14:textId="0A2FD054" w:rsidR="00F337E4" w:rsidRDefault="00E465E2" w:rsidP="00E465E2">
            <w:pPr>
              <w:pStyle w:val="ListParagraph"/>
              <w:numPr>
                <w:ilvl w:val="0"/>
                <w:numId w:val="6"/>
              </w:numPr>
              <w:contextualSpacing/>
              <w:rPr>
                <w:rStyle w:val="normaltextrun"/>
                <w:rFonts w:ascii="Arial" w:eastAsia="Arial" w:hAnsi="Arial" w:cs="Arial"/>
                <w:sz w:val="24"/>
                <w:szCs w:val="24"/>
              </w:rPr>
            </w:pPr>
            <w:r w:rsidRPr="00EC645B">
              <w:rPr>
                <w:rStyle w:val="normaltextrun"/>
                <w:rFonts w:ascii="Arial" w:eastAsia="Arial" w:hAnsi="Arial" w:cs="Arial"/>
                <w:sz w:val="24"/>
                <w:szCs w:val="24"/>
              </w:rPr>
              <w:t xml:space="preserve">A challenge lies in the need to </w:t>
            </w:r>
            <w:r w:rsidR="001D09CA">
              <w:rPr>
                <w:rStyle w:val="normaltextrun"/>
                <w:rFonts w:ascii="Arial" w:eastAsia="Arial" w:hAnsi="Arial" w:cs="Arial"/>
                <w:sz w:val="24"/>
                <w:szCs w:val="24"/>
              </w:rPr>
              <w:t>g</w:t>
            </w:r>
            <w:r w:rsidR="001D09CA" w:rsidRPr="0044030C">
              <w:rPr>
                <w:rStyle w:val="normaltextrun"/>
                <w:rFonts w:ascii="Arial" w:eastAsia="Arial" w:hAnsi="Arial" w:cs="Arial"/>
                <w:sz w:val="24"/>
                <w:szCs w:val="24"/>
              </w:rPr>
              <w:t>et the most benefit in what we invest</w:t>
            </w:r>
            <w:r w:rsidR="001D09CA">
              <w:rPr>
                <w:rStyle w:val="normaltextrun"/>
              </w:rPr>
              <w:t xml:space="preserve"> </w:t>
            </w:r>
            <w:r w:rsidR="0044030C">
              <w:rPr>
                <w:rStyle w:val="normaltextrun"/>
              </w:rPr>
              <w:t>i</w:t>
            </w:r>
            <w:r>
              <w:rPr>
                <w:rStyle w:val="normaltextrun"/>
                <w:rFonts w:ascii="Arial" w:eastAsia="Arial" w:hAnsi="Arial" w:cs="Arial"/>
                <w:sz w:val="24"/>
                <w:szCs w:val="24"/>
              </w:rPr>
              <w:t xml:space="preserve">n </w:t>
            </w:r>
            <w:r w:rsidRPr="00EC645B">
              <w:rPr>
                <w:rStyle w:val="normaltextrun"/>
                <w:rFonts w:ascii="Arial" w:eastAsia="Arial" w:hAnsi="Arial" w:cs="Arial"/>
                <w:sz w:val="24"/>
                <w:szCs w:val="24"/>
              </w:rPr>
              <w:t xml:space="preserve">ICT software and services </w:t>
            </w:r>
            <w:r>
              <w:rPr>
                <w:rStyle w:val="normaltextrun"/>
                <w:rFonts w:ascii="Arial" w:eastAsia="Arial" w:hAnsi="Arial" w:cs="Arial"/>
                <w:sz w:val="24"/>
                <w:szCs w:val="24"/>
              </w:rPr>
              <w:t>while changing the way we utilise solutions and data.  There is a necessity to revise c</w:t>
            </w:r>
            <w:r w:rsidRPr="00EC645B">
              <w:rPr>
                <w:rStyle w:val="normaltextrun"/>
                <w:rFonts w:ascii="Arial" w:eastAsia="Arial" w:hAnsi="Arial" w:cs="Arial"/>
                <w:sz w:val="24"/>
                <w:szCs w:val="24"/>
              </w:rPr>
              <w:t>urrent approaches</w:t>
            </w:r>
            <w:r>
              <w:rPr>
                <w:rStyle w:val="normaltextrun"/>
                <w:rFonts w:ascii="Arial" w:eastAsia="Arial" w:hAnsi="Arial" w:cs="Arial"/>
                <w:sz w:val="24"/>
                <w:szCs w:val="24"/>
              </w:rPr>
              <w:t xml:space="preserve"> to align them with the</w:t>
            </w:r>
            <w:r w:rsidRPr="00EC645B">
              <w:rPr>
                <w:rStyle w:val="normaltextrun"/>
                <w:rFonts w:ascii="Arial" w:eastAsia="Arial" w:hAnsi="Arial" w:cs="Arial"/>
                <w:sz w:val="24"/>
                <w:szCs w:val="24"/>
              </w:rPr>
              <w:t xml:space="preserve"> </w:t>
            </w:r>
            <w:r>
              <w:rPr>
                <w:rStyle w:val="normaltextrun"/>
                <w:rFonts w:ascii="Arial" w:eastAsia="Arial" w:hAnsi="Arial" w:cs="Arial"/>
                <w:sz w:val="24"/>
                <w:szCs w:val="24"/>
              </w:rPr>
              <w:t>Council's</w:t>
            </w:r>
            <w:r w:rsidRPr="00EC645B">
              <w:rPr>
                <w:rStyle w:val="normaltextrun"/>
                <w:rFonts w:ascii="Arial" w:eastAsia="Arial" w:hAnsi="Arial" w:cs="Arial"/>
                <w:sz w:val="24"/>
                <w:szCs w:val="24"/>
              </w:rPr>
              <w:t xml:space="preserve"> </w:t>
            </w:r>
            <w:r>
              <w:rPr>
                <w:rStyle w:val="normaltextrun"/>
                <w:rFonts w:ascii="Arial" w:eastAsia="Arial" w:hAnsi="Arial" w:cs="Arial"/>
                <w:sz w:val="24"/>
                <w:szCs w:val="24"/>
              </w:rPr>
              <w:t>aspirations</w:t>
            </w:r>
            <w:r w:rsidRPr="00EC645B">
              <w:rPr>
                <w:rStyle w:val="normaltextrun"/>
                <w:rFonts w:ascii="Arial" w:eastAsia="Arial" w:hAnsi="Arial" w:cs="Arial"/>
                <w:sz w:val="24"/>
                <w:szCs w:val="24"/>
              </w:rPr>
              <w:t xml:space="preserve"> and objectives to join up service delivery and </w:t>
            </w:r>
            <w:r>
              <w:rPr>
                <w:rStyle w:val="normaltextrun"/>
                <w:rFonts w:ascii="Arial" w:eastAsia="Arial" w:hAnsi="Arial" w:cs="Arial"/>
                <w:sz w:val="24"/>
                <w:szCs w:val="24"/>
              </w:rPr>
              <w:t xml:space="preserve">enabling an agile </w:t>
            </w:r>
            <w:r w:rsidRPr="00EC645B">
              <w:rPr>
                <w:rStyle w:val="normaltextrun"/>
                <w:rFonts w:ascii="Arial" w:eastAsia="Arial" w:hAnsi="Arial" w:cs="Arial"/>
                <w:sz w:val="24"/>
                <w:szCs w:val="24"/>
              </w:rPr>
              <w:t>respon</w:t>
            </w:r>
            <w:r>
              <w:rPr>
                <w:rStyle w:val="normaltextrun"/>
                <w:rFonts w:ascii="Arial" w:eastAsia="Arial" w:hAnsi="Arial" w:cs="Arial"/>
                <w:sz w:val="24"/>
                <w:szCs w:val="24"/>
              </w:rPr>
              <w:t>se t</w:t>
            </w:r>
            <w:r w:rsidRPr="00EC645B">
              <w:rPr>
                <w:rStyle w:val="normaltextrun"/>
                <w:rFonts w:ascii="Arial" w:eastAsia="Arial" w:hAnsi="Arial" w:cs="Arial"/>
                <w:sz w:val="24"/>
                <w:szCs w:val="24"/>
              </w:rPr>
              <w:t>o change.</w:t>
            </w:r>
          </w:p>
          <w:p w14:paraId="0C50ACD6" w14:textId="77777777" w:rsidR="00F337E4" w:rsidRPr="00F337E4" w:rsidRDefault="00F337E4" w:rsidP="00F337E4">
            <w:pPr>
              <w:pStyle w:val="ListParagraph"/>
              <w:rPr>
                <w:rStyle w:val="normaltextrun"/>
                <w:rFonts w:ascii="Arial" w:eastAsia="Arial" w:hAnsi="Arial" w:cs="Arial"/>
                <w:sz w:val="24"/>
                <w:szCs w:val="24"/>
              </w:rPr>
            </w:pPr>
          </w:p>
          <w:p w14:paraId="4F25D45C" w14:textId="04B22AFE" w:rsidR="00CD5B84" w:rsidRDefault="00CD5B84" w:rsidP="00CD5B84">
            <w:pPr>
              <w:pStyle w:val="ListParagraph"/>
              <w:numPr>
                <w:ilvl w:val="0"/>
                <w:numId w:val="6"/>
              </w:numPr>
              <w:rPr>
                <w:rStyle w:val="normaltextrun"/>
                <w:rFonts w:ascii="Arial" w:eastAsia="Arial" w:hAnsi="Arial" w:cs="Arial"/>
                <w:sz w:val="24"/>
                <w:szCs w:val="24"/>
              </w:rPr>
            </w:pPr>
            <w:r w:rsidRPr="00CD5B84">
              <w:rPr>
                <w:rStyle w:val="normaltextrun"/>
                <w:rFonts w:ascii="Arial" w:eastAsia="Arial" w:hAnsi="Arial" w:cs="Arial"/>
                <w:sz w:val="24"/>
                <w:szCs w:val="24"/>
              </w:rPr>
              <w:t xml:space="preserve">Replacing </w:t>
            </w:r>
            <w:r w:rsidR="00DC0ED7">
              <w:rPr>
                <w:rStyle w:val="normaltextrun"/>
                <w:rFonts w:ascii="Arial" w:eastAsia="Arial" w:hAnsi="Arial" w:cs="Arial"/>
                <w:sz w:val="24"/>
                <w:szCs w:val="24"/>
              </w:rPr>
              <w:t>Legacy</w:t>
            </w:r>
            <w:r w:rsidRPr="00CD5B84">
              <w:rPr>
                <w:rStyle w:val="normaltextrun"/>
                <w:rFonts w:ascii="Arial" w:eastAsia="Arial" w:hAnsi="Arial" w:cs="Arial"/>
                <w:sz w:val="24"/>
                <w:szCs w:val="24"/>
              </w:rPr>
              <w:t xml:space="preserve"> systems with new ones remains a complex task, as existing business processes must adapt to digital platforms. </w:t>
            </w:r>
            <w:r w:rsidR="000473B4">
              <w:rPr>
                <w:rStyle w:val="normaltextrun"/>
                <w:rFonts w:ascii="Arial" w:eastAsia="Arial" w:hAnsi="Arial" w:cs="Arial"/>
                <w:sz w:val="24"/>
                <w:szCs w:val="24"/>
              </w:rPr>
              <w:t>We must be mindful of the</w:t>
            </w:r>
            <w:r w:rsidRPr="00CD5B84">
              <w:rPr>
                <w:rStyle w:val="normaltextrun"/>
                <w:rFonts w:ascii="Arial" w:eastAsia="Arial" w:hAnsi="Arial" w:cs="Arial"/>
                <w:sz w:val="24"/>
                <w:szCs w:val="24"/>
              </w:rPr>
              <w:t xml:space="preserve"> sustainability of these systems and </w:t>
            </w:r>
            <w:r w:rsidR="000473B4">
              <w:rPr>
                <w:rStyle w:val="normaltextrun"/>
                <w:rFonts w:ascii="Arial" w:eastAsia="Arial" w:hAnsi="Arial" w:cs="Arial"/>
                <w:sz w:val="24"/>
                <w:szCs w:val="24"/>
              </w:rPr>
              <w:t>make sure we</w:t>
            </w:r>
            <w:r w:rsidRPr="00CD5B84">
              <w:rPr>
                <w:rStyle w:val="normaltextrun"/>
                <w:rFonts w:ascii="Arial" w:eastAsia="Arial" w:hAnsi="Arial" w:cs="Arial"/>
                <w:sz w:val="24"/>
                <w:szCs w:val="24"/>
              </w:rPr>
              <w:t xml:space="preserve"> reap the benefits of </w:t>
            </w:r>
            <w:r w:rsidR="000473B4">
              <w:rPr>
                <w:rStyle w:val="normaltextrun"/>
                <w:rFonts w:ascii="Arial" w:eastAsia="Arial" w:hAnsi="Arial" w:cs="Arial"/>
                <w:sz w:val="24"/>
                <w:szCs w:val="24"/>
              </w:rPr>
              <w:t xml:space="preserve">our </w:t>
            </w:r>
            <w:r w:rsidRPr="00CD5B84">
              <w:rPr>
                <w:rStyle w:val="normaltextrun"/>
                <w:rFonts w:ascii="Arial" w:eastAsia="Arial" w:hAnsi="Arial" w:cs="Arial"/>
                <w:sz w:val="24"/>
                <w:szCs w:val="24"/>
              </w:rPr>
              <w:t>significant investments.</w:t>
            </w:r>
          </w:p>
          <w:p w14:paraId="38780CF1" w14:textId="77777777" w:rsidR="00CD5B84" w:rsidRPr="00CD5B84" w:rsidRDefault="00CD5B84" w:rsidP="00CD5B84">
            <w:pPr>
              <w:pStyle w:val="ListParagraph"/>
              <w:rPr>
                <w:rStyle w:val="normaltextrun"/>
                <w:rFonts w:ascii="Arial" w:eastAsia="Arial" w:hAnsi="Arial" w:cs="Arial"/>
                <w:sz w:val="24"/>
                <w:szCs w:val="24"/>
              </w:rPr>
            </w:pPr>
          </w:p>
          <w:p w14:paraId="159C18A9" w14:textId="7BFEF720" w:rsidR="00E465E2" w:rsidRDefault="00E465E2" w:rsidP="00E465E2">
            <w:pPr>
              <w:pStyle w:val="ListParagraph"/>
              <w:numPr>
                <w:ilvl w:val="0"/>
                <w:numId w:val="6"/>
              </w:numPr>
              <w:spacing w:before="240" w:after="120"/>
              <w:contextualSpacing/>
              <w:rPr>
                <w:rStyle w:val="normaltextrun"/>
                <w:rFonts w:ascii="Arial" w:hAnsi="Arial" w:cs="Arial"/>
                <w:color w:val="000000"/>
                <w:sz w:val="24"/>
                <w:szCs w:val="24"/>
              </w:rPr>
            </w:pPr>
            <w:r>
              <w:rPr>
                <w:rStyle w:val="normaltextrun"/>
                <w:rFonts w:ascii="Arial" w:hAnsi="Arial" w:cs="Arial"/>
                <w:color w:val="000000"/>
                <w:sz w:val="24"/>
                <w:szCs w:val="24"/>
              </w:rPr>
              <w:t>Managing finances within the current economic climate can be challenging with pressures such as inflationary increases impacting on both revenue and capital budgets.  The budget position and financial monitoring are reported to the Cabinet and the Scrutiny Committees.</w:t>
            </w:r>
          </w:p>
          <w:p w14:paraId="7533860E" w14:textId="77777777" w:rsidR="00E465E2" w:rsidRPr="009B5FA4" w:rsidRDefault="00E465E2" w:rsidP="009B5FA4">
            <w:pPr>
              <w:pStyle w:val="ListParagraph"/>
              <w:spacing w:before="240" w:after="120"/>
              <w:contextualSpacing/>
              <w:rPr>
                <w:rStyle w:val="normaltextrun"/>
                <w:rFonts w:ascii="Arial" w:hAnsi="Arial" w:cs="Arial"/>
                <w:color w:val="000000"/>
                <w:sz w:val="24"/>
                <w:szCs w:val="24"/>
              </w:rPr>
            </w:pPr>
          </w:p>
          <w:p w14:paraId="2E5682F6" w14:textId="77777777" w:rsidR="00E465E2" w:rsidRDefault="00E465E2" w:rsidP="00E465E2">
            <w:pPr>
              <w:pStyle w:val="ListParagraph"/>
              <w:numPr>
                <w:ilvl w:val="0"/>
                <w:numId w:val="6"/>
              </w:numPr>
              <w:contextualSpacing/>
              <w:rPr>
                <w:rFonts w:ascii="Arial" w:eastAsia="Arial" w:hAnsi="Arial" w:cs="Arial"/>
                <w:color w:val="000000"/>
                <w:sz w:val="24"/>
                <w:szCs w:val="24"/>
              </w:rPr>
            </w:pPr>
            <w:r w:rsidRPr="006B4C2A">
              <w:rPr>
                <w:rFonts w:ascii="Arial" w:eastAsia="Arial" w:hAnsi="Arial" w:cs="Arial"/>
                <w:color w:val="000000"/>
                <w:sz w:val="24"/>
                <w:szCs w:val="24"/>
              </w:rPr>
              <w:t>Reform of the non –domestic Rating system meant that the Assessor Service required</w:t>
            </w:r>
            <w:r>
              <w:rPr>
                <w:rFonts w:ascii="Arial" w:eastAsia="Arial" w:hAnsi="Arial" w:cs="Arial"/>
                <w:color w:val="000000"/>
                <w:sz w:val="24"/>
                <w:szCs w:val="24"/>
              </w:rPr>
              <w:t xml:space="preserve"> to</w:t>
            </w:r>
            <w:r w:rsidRPr="006B4C2A">
              <w:rPr>
                <w:rFonts w:ascii="Arial" w:eastAsia="Arial" w:hAnsi="Arial" w:cs="Arial"/>
                <w:color w:val="000000"/>
                <w:sz w:val="24"/>
                <w:szCs w:val="24"/>
              </w:rPr>
              <w:t xml:space="preserve"> transform its operations to meet legislative change and significantly increased workloads. A raft of new legislation introduced many changes including; three yearly revaluations (previously five), a narrower tone (valuation) date, greater transparency in approach, production of a draft Valuation Roll and a new </w:t>
            </w:r>
            <w:r>
              <w:rPr>
                <w:rFonts w:ascii="Arial" w:eastAsia="Arial" w:hAnsi="Arial" w:cs="Arial"/>
                <w:color w:val="000000"/>
                <w:sz w:val="24"/>
                <w:szCs w:val="24"/>
              </w:rPr>
              <w:t>two-stage</w:t>
            </w:r>
            <w:r w:rsidRPr="006B4C2A">
              <w:rPr>
                <w:rFonts w:ascii="Arial" w:eastAsia="Arial" w:hAnsi="Arial" w:cs="Arial"/>
                <w:color w:val="000000"/>
                <w:sz w:val="24"/>
                <w:szCs w:val="24"/>
              </w:rPr>
              <w:t xml:space="preserve"> appeal system. </w:t>
            </w:r>
          </w:p>
          <w:p w14:paraId="47EAD81B" w14:textId="77777777" w:rsidR="00E465E2" w:rsidRDefault="00E465E2">
            <w:pPr>
              <w:pStyle w:val="ListParagraph"/>
              <w:rPr>
                <w:rFonts w:ascii="Arial" w:eastAsia="Arial" w:hAnsi="Arial" w:cs="Arial"/>
                <w:color w:val="000000"/>
                <w:sz w:val="24"/>
                <w:szCs w:val="24"/>
              </w:rPr>
            </w:pPr>
          </w:p>
          <w:p w14:paraId="17715B41" w14:textId="77777777" w:rsidR="00E465E2" w:rsidRDefault="00E465E2">
            <w:pPr>
              <w:pStyle w:val="ListParagraph"/>
              <w:contextualSpacing/>
              <w:rPr>
                <w:rFonts w:ascii="Arial" w:eastAsia="Arial" w:hAnsi="Arial" w:cs="Arial"/>
                <w:color w:val="000000"/>
                <w:sz w:val="24"/>
                <w:szCs w:val="24"/>
              </w:rPr>
            </w:pPr>
            <w:r w:rsidRPr="006B4C2A">
              <w:rPr>
                <w:rFonts w:ascii="Arial" w:eastAsia="Arial" w:hAnsi="Arial" w:cs="Arial"/>
                <w:color w:val="000000"/>
                <w:sz w:val="24"/>
                <w:szCs w:val="24"/>
              </w:rPr>
              <w:t>In addition to Rating reform, a further change included the transfer of the functions of the Valuation Appeal Committees to the Scottish Courts and Tribunals Service on the 1</w:t>
            </w:r>
            <w:r w:rsidRPr="006B4C2A">
              <w:rPr>
                <w:rFonts w:ascii="Arial" w:eastAsia="Arial" w:hAnsi="Arial" w:cs="Arial"/>
                <w:color w:val="000000"/>
                <w:sz w:val="24"/>
                <w:szCs w:val="24"/>
                <w:vertAlign w:val="superscript"/>
              </w:rPr>
              <w:t>st</w:t>
            </w:r>
            <w:r w:rsidRPr="006B4C2A">
              <w:rPr>
                <w:rFonts w:ascii="Arial" w:eastAsia="Arial" w:hAnsi="Arial" w:cs="Arial"/>
                <w:color w:val="000000"/>
                <w:sz w:val="24"/>
                <w:szCs w:val="24"/>
              </w:rPr>
              <w:t xml:space="preserve"> April 2023 and the Service is currently adapting to this change. The Service has grown to meet the increased workloads and changes but recruiting the correct skillsets has proved very challenging for the Service. Rating is a highly specialised field and recruitment challenges have resulted in the Service having to invest heavily in training to create a pipeline of well-trained, qualified staff to support the Service for the future, more particularly for Revaluation 2026 which will be the first three yearly revaluation to take place.  The implementation of a new IT software system is currently ongoing, </w:t>
            </w:r>
            <w:r w:rsidRPr="006B4C2A">
              <w:rPr>
                <w:rFonts w:ascii="Arial" w:eastAsia="Arial" w:hAnsi="Arial" w:cs="Arial"/>
                <w:color w:val="000000"/>
                <w:sz w:val="24"/>
                <w:szCs w:val="24"/>
              </w:rPr>
              <w:lastRenderedPageBreak/>
              <w:t>having been subject to many delays, and is a further challenge that the Service works to overcome.</w:t>
            </w:r>
          </w:p>
          <w:p w14:paraId="72C67F1D" w14:textId="77777777" w:rsidR="00E465E2" w:rsidRDefault="00E465E2">
            <w:pPr>
              <w:pStyle w:val="ListParagraph"/>
              <w:contextualSpacing/>
              <w:rPr>
                <w:rFonts w:ascii="Arial" w:eastAsia="Arial" w:hAnsi="Arial" w:cs="Arial"/>
                <w:color w:val="000000"/>
                <w:sz w:val="24"/>
                <w:szCs w:val="24"/>
              </w:rPr>
            </w:pPr>
          </w:p>
          <w:p w14:paraId="440765B5" w14:textId="77777777" w:rsidR="00E465E2" w:rsidRPr="00BA6983" w:rsidRDefault="00E465E2" w:rsidP="00E465E2">
            <w:pPr>
              <w:pStyle w:val="ListParagraph"/>
              <w:numPr>
                <w:ilvl w:val="0"/>
                <w:numId w:val="6"/>
              </w:numPr>
              <w:contextualSpacing/>
              <w:rPr>
                <w:rFonts w:ascii="Arial" w:eastAsia="Arial" w:hAnsi="Arial" w:cs="Arial"/>
                <w:color w:val="000000"/>
                <w:sz w:val="24"/>
                <w:szCs w:val="24"/>
              </w:rPr>
            </w:pPr>
            <w:r w:rsidRPr="00D85767">
              <w:rPr>
                <w:rFonts w:ascii="Arial" w:eastAsia="Arial" w:hAnsi="Arial" w:cs="Arial"/>
                <w:color w:val="000000"/>
                <w:sz w:val="24"/>
                <w:szCs w:val="24"/>
              </w:rPr>
              <w:t xml:space="preserve">Significant changes to electoral legislation applying to the conduct of elections and registration of electors </w:t>
            </w:r>
            <w:r>
              <w:rPr>
                <w:rFonts w:ascii="Arial" w:eastAsia="Arial" w:hAnsi="Arial" w:cs="Arial"/>
                <w:color w:val="000000"/>
                <w:sz w:val="24"/>
                <w:szCs w:val="24"/>
              </w:rPr>
              <w:t>have</w:t>
            </w:r>
            <w:r w:rsidRPr="00D85767">
              <w:rPr>
                <w:rFonts w:ascii="Arial" w:eastAsia="Arial" w:hAnsi="Arial" w:cs="Arial"/>
                <w:color w:val="000000"/>
                <w:sz w:val="24"/>
                <w:szCs w:val="24"/>
              </w:rPr>
              <w:t xml:space="preserve"> required </w:t>
            </w:r>
            <w:r>
              <w:rPr>
                <w:rFonts w:ascii="Arial" w:eastAsia="Arial" w:hAnsi="Arial" w:cs="Arial"/>
                <w:color w:val="000000"/>
                <w:sz w:val="24"/>
                <w:szCs w:val="24"/>
              </w:rPr>
              <w:t>resources</w:t>
            </w:r>
            <w:r w:rsidRPr="00D85767">
              <w:rPr>
                <w:rFonts w:ascii="Arial" w:eastAsia="Arial" w:hAnsi="Arial" w:cs="Arial"/>
                <w:color w:val="000000"/>
                <w:sz w:val="24"/>
                <w:szCs w:val="24"/>
              </w:rPr>
              <w:t xml:space="preserve"> to prepare for and implement the changes. The next major electoral event will be a general election, likely in 2024.     </w:t>
            </w:r>
          </w:p>
          <w:p w14:paraId="6AD5B96D" w14:textId="77777777" w:rsidR="00E465E2" w:rsidRPr="002B6494" w:rsidRDefault="00E465E2">
            <w:pPr>
              <w:pStyle w:val="ListParagraph"/>
              <w:contextualSpacing/>
              <w:rPr>
                <w:szCs w:val="24"/>
              </w:rPr>
            </w:pPr>
          </w:p>
          <w:p w14:paraId="24378149" w14:textId="2AE6C897" w:rsidR="00E465E2" w:rsidRPr="00BA6983" w:rsidRDefault="00E465E2" w:rsidP="00E465E2">
            <w:pPr>
              <w:pStyle w:val="ListParagraph"/>
              <w:numPr>
                <w:ilvl w:val="0"/>
                <w:numId w:val="9"/>
              </w:numPr>
              <w:spacing w:after="120"/>
              <w:contextualSpacing/>
              <w:rPr>
                <w:rStyle w:val="eop"/>
                <w:rFonts w:ascii="Arial" w:hAnsi="Arial" w:cs="Arial"/>
                <w:color w:val="000000"/>
                <w:sz w:val="24"/>
                <w:szCs w:val="24"/>
              </w:rPr>
            </w:pPr>
            <w:r w:rsidRPr="009B3916">
              <w:rPr>
                <w:rStyle w:val="normaltextrun"/>
                <w:rFonts w:ascii="Arial" w:hAnsi="Arial" w:cs="Arial"/>
                <w:color w:val="000000"/>
                <w:sz w:val="24"/>
                <w:szCs w:val="24"/>
                <w:shd w:val="clear" w:color="auto" w:fill="FFFFFF"/>
              </w:rPr>
              <w:t>De</w:t>
            </w:r>
            <w:r w:rsidR="008F49E6">
              <w:rPr>
                <w:rStyle w:val="normaltextrun"/>
                <w:rFonts w:ascii="Arial" w:hAnsi="Arial" w:cs="Arial"/>
                <w:color w:val="000000"/>
                <w:sz w:val="24"/>
                <w:szCs w:val="24"/>
                <w:shd w:val="clear" w:color="auto" w:fill="FFFFFF"/>
              </w:rPr>
              <w:t>livering the improvement actions identified as part of the Annual Governance statement will also be a priority for Legal and Democratic Service.</w:t>
            </w:r>
            <w:r w:rsidRPr="009B3916">
              <w:rPr>
                <w:rStyle w:val="normaltextrun"/>
                <w:rFonts w:ascii="Arial" w:hAnsi="Arial" w:cs="Arial"/>
                <w:color w:val="000000"/>
                <w:sz w:val="24"/>
                <w:szCs w:val="24"/>
                <w:shd w:val="clear" w:color="auto" w:fill="FFFFFF"/>
              </w:rPr>
              <w:t xml:space="preserve"> </w:t>
            </w:r>
          </w:p>
          <w:p w14:paraId="00679C93" w14:textId="77777777" w:rsidR="00E465E2" w:rsidRDefault="00E465E2">
            <w:pPr>
              <w:rPr>
                <w:color w:val="0070C0"/>
                <w:szCs w:val="24"/>
              </w:rPr>
            </w:pPr>
          </w:p>
        </w:tc>
      </w:tr>
      <w:tr w:rsidR="00E465E2" w:rsidRPr="00BB7B76" w14:paraId="38DA5196" w14:textId="77777777" w:rsidTr="00F00E02">
        <w:trPr>
          <w:gridAfter w:val="1"/>
          <w:wAfter w:w="92" w:type="dxa"/>
          <w:trHeight w:val="338"/>
        </w:trPr>
        <w:tc>
          <w:tcPr>
            <w:tcW w:w="10213" w:type="dxa"/>
            <w:shd w:val="clear" w:color="auto" w:fill="4472C4" w:themeFill="accent1"/>
          </w:tcPr>
          <w:p w14:paraId="4FCE4FDB" w14:textId="77777777" w:rsidR="00E465E2" w:rsidRDefault="00E465E2">
            <w:pPr>
              <w:jc w:val="center"/>
              <w:rPr>
                <w:rFonts w:cs="Calibri"/>
                <w:b/>
                <w:color w:val="FFFFFF"/>
                <w:sz w:val="28"/>
                <w:szCs w:val="28"/>
              </w:rPr>
            </w:pPr>
            <w:r>
              <w:rPr>
                <w:rFonts w:cs="Calibri"/>
                <w:b/>
                <w:color w:val="FFFFFF"/>
                <w:sz w:val="28"/>
                <w:szCs w:val="28"/>
              </w:rPr>
              <w:lastRenderedPageBreak/>
              <w:t>RISKS/EMERGING RISKS</w:t>
            </w:r>
          </w:p>
        </w:tc>
      </w:tr>
      <w:tr w:rsidR="00E465E2" w:rsidRPr="00AD713E" w14:paraId="13E26E55" w14:textId="77777777" w:rsidTr="00F00E02">
        <w:trPr>
          <w:gridAfter w:val="1"/>
          <w:wAfter w:w="92" w:type="dxa"/>
          <w:trHeight w:val="2534"/>
        </w:trPr>
        <w:tc>
          <w:tcPr>
            <w:tcW w:w="10213" w:type="dxa"/>
            <w:shd w:val="clear" w:color="auto" w:fill="auto"/>
          </w:tcPr>
          <w:p w14:paraId="2A78B6D8" w14:textId="77777777" w:rsidR="00E465E2" w:rsidRDefault="00E465E2">
            <w:pPr>
              <w:pStyle w:val="ListParagraph"/>
              <w:ind w:left="226"/>
              <w:rPr>
                <w:rFonts w:cs="Calibri"/>
                <w:color w:val="2E74B5"/>
              </w:rPr>
            </w:pPr>
          </w:p>
          <w:p w14:paraId="6E4930EB" w14:textId="08757128" w:rsidR="00E465E2" w:rsidRDefault="00E465E2" w:rsidP="005D7F47">
            <w:pPr>
              <w:pStyle w:val="paragraph"/>
              <w:spacing w:before="0" w:beforeAutospacing="0" w:after="0" w:afterAutospacing="0"/>
              <w:textAlignment w:val="baseline"/>
              <w:rPr>
                <w:rStyle w:val="eop"/>
              </w:rPr>
            </w:pPr>
            <w:r>
              <w:rPr>
                <w:rStyle w:val="normaltextrun"/>
                <w:rFonts w:ascii="Arial" w:hAnsi="Arial" w:cs="Arial"/>
                <w:color w:val="000000"/>
              </w:rPr>
              <w:t>The Directorate oversees the following strategic risks:</w:t>
            </w:r>
            <w:r>
              <w:rPr>
                <w:rStyle w:val="eop"/>
                <w:rFonts w:ascii="Arial" w:hAnsi="Arial" w:cs="Arial"/>
                <w:color w:val="000000"/>
              </w:rPr>
              <w:t> </w:t>
            </w:r>
          </w:p>
          <w:p w14:paraId="60846EC6" w14:textId="77777777" w:rsidR="005D7F47" w:rsidRPr="005D7F47" w:rsidRDefault="005D7F47" w:rsidP="005D7F47">
            <w:pPr>
              <w:pStyle w:val="paragraph"/>
              <w:spacing w:before="0" w:beforeAutospacing="0" w:after="0" w:afterAutospacing="0"/>
              <w:textAlignment w:val="baseline"/>
              <w:rPr>
                <w:rFonts w:ascii="Arial" w:hAnsi="Arial" w:cs="Arial"/>
                <w:color w:val="000000"/>
              </w:rPr>
            </w:pPr>
          </w:p>
          <w:p w14:paraId="08E68DF4" w14:textId="77777777" w:rsidR="00E465E2"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FC001 ICT Failure</w:t>
            </w:r>
            <w:r>
              <w:rPr>
                <w:rFonts w:ascii="Arial" w:hAnsi="Arial" w:cs="Arial"/>
                <w:sz w:val="24"/>
                <w:szCs w:val="24"/>
              </w:rPr>
              <w:t xml:space="preserve">- a critical failure of council systems and information will not be available to support service delivery. </w:t>
            </w:r>
          </w:p>
          <w:p w14:paraId="0FE07062" w14:textId="77777777" w:rsidR="00E465E2" w:rsidRPr="00BB3091" w:rsidRDefault="00E465E2">
            <w:pPr>
              <w:pStyle w:val="ListParagraph"/>
              <w:contextualSpacing/>
              <w:rPr>
                <w:rFonts w:ascii="Arial" w:hAnsi="Arial" w:cs="Arial"/>
                <w:sz w:val="24"/>
                <w:szCs w:val="24"/>
              </w:rPr>
            </w:pPr>
          </w:p>
          <w:p w14:paraId="30440F8F" w14:textId="77777777" w:rsidR="00E465E2"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FC009 Poor Corporate Governance &amp; Leadership</w:t>
            </w:r>
            <w:r w:rsidRPr="5C6B0E95">
              <w:rPr>
                <w:rFonts w:ascii="Arial" w:hAnsi="Arial" w:cs="Arial"/>
                <w:b/>
                <w:bCs/>
                <w:sz w:val="24"/>
                <w:szCs w:val="24"/>
              </w:rPr>
              <w:t xml:space="preserve">- </w:t>
            </w:r>
            <w:r w:rsidRPr="5C6B0E95">
              <w:rPr>
                <w:rFonts w:ascii="Arial" w:hAnsi="Arial" w:cs="Arial"/>
                <w:sz w:val="24"/>
                <w:szCs w:val="24"/>
              </w:rPr>
              <w:t>a failure to adequately and consistently apply the Council’s Code of Corporate Governance and a failure of leadership</w:t>
            </w:r>
            <w:r>
              <w:rPr>
                <w:rFonts w:ascii="Arial" w:hAnsi="Arial" w:cs="Arial"/>
                <w:sz w:val="24"/>
                <w:szCs w:val="24"/>
              </w:rPr>
              <w:t>.</w:t>
            </w:r>
          </w:p>
          <w:p w14:paraId="3E159E04" w14:textId="77777777" w:rsidR="00E465E2" w:rsidRDefault="00E465E2">
            <w:pPr>
              <w:pStyle w:val="ListParagraph"/>
              <w:rPr>
                <w:rFonts w:ascii="Arial" w:hAnsi="Arial" w:cs="Arial"/>
                <w:sz w:val="24"/>
                <w:szCs w:val="24"/>
              </w:rPr>
            </w:pPr>
          </w:p>
          <w:p w14:paraId="5E5BDAB7" w14:textId="77777777" w:rsidR="00E465E2" w:rsidRPr="006B1B1B"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FC010 Elected Members</w:t>
            </w:r>
            <w:r>
              <w:rPr>
                <w:rFonts w:ascii="Arial" w:hAnsi="Arial" w:cs="Arial"/>
                <w:sz w:val="24"/>
                <w:szCs w:val="24"/>
              </w:rPr>
              <w:t xml:space="preserve">- </w:t>
            </w:r>
            <w:r w:rsidRPr="006B1B1B">
              <w:rPr>
                <w:rFonts w:ascii="Arial" w:hAnsi="Arial" w:cs="Arial"/>
                <w:sz w:val="24"/>
                <w:szCs w:val="24"/>
              </w:rPr>
              <w:t xml:space="preserve">Failure to comply with Council Governance and </w:t>
            </w:r>
            <w:r w:rsidRPr="5C6B0E95">
              <w:rPr>
                <w:rFonts w:ascii="Arial" w:hAnsi="Arial" w:cs="Arial"/>
                <w:sz w:val="24"/>
                <w:szCs w:val="24"/>
              </w:rPr>
              <w:t xml:space="preserve">Councillors’ </w:t>
            </w:r>
            <w:r w:rsidRPr="006B1B1B">
              <w:rPr>
                <w:rFonts w:ascii="Arial" w:hAnsi="Arial" w:cs="Arial"/>
                <w:sz w:val="24"/>
                <w:szCs w:val="24"/>
              </w:rPr>
              <w:t>Code of Conduct</w:t>
            </w:r>
            <w:r>
              <w:rPr>
                <w:rFonts w:ascii="Arial" w:hAnsi="Arial" w:cs="Arial"/>
                <w:sz w:val="24"/>
                <w:szCs w:val="24"/>
              </w:rPr>
              <w:t>.</w:t>
            </w:r>
          </w:p>
          <w:p w14:paraId="04E28177" w14:textId="77777777" w:rsidR="00E465E2" w:rsidRDefault="00E465E2">
            <w:pPr>
              <w:pStyle w:val="ListParagraph"/>
              <w:rPr>
                <w:rFonts w:ascii="Arial" w:hAnsi="Arial" w:cs="Arial"/>
                <w:szCs w:val="24"/>
              </w:rPr>
            </w:pPr>
          </w:p>
          <w:p w14:paraId="008D63B0" w14:textId="77777777" w:rsidR="00E465E2"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FC012 Financial Instability</w:t>
            </w:r>
            <w:r>
              <w:rPr>
                <w:rFonts w:ascii="Arial" w:hAnsi="Arial" w:cs="Arial"/>
                <w:sz w:val="24"/>
                <w:szCs w:val="24"/>
              </w:rPr>
              <w:t>- The Council and its partners fail to deliver Plan for Fife ambitions.  The Council's Financial sustainability is compromised.</w:t>
            </w:r>
          </w:p>
          <w:p w14:paraId="4B3605EB" w14:textId="77777777" w:rsidR="00E465E2" w:rsidRDefault="00E465E2">
            <w:pPr>
              <w:pStyle w:val="ListParagraph"/>
              <w:rPr>
                <w:rFonts w:ascii="Arial" w:hAnsi="Arial" w:cs="Arial"/>
                <w:szCs w:val="24"/>
              </w:rPr>
            </w:pPr>
          </w:p>
          <w:p w14:paraId="728DDDF0" w14:textId="77777777" w:rsidR="00E465E2"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FC013 Failure to Effectively Discharge Statutory Health and Safety Obligation -</w:t>
            </w:r>
            <w:r>
              <w:rPr>
                <w:rFonts w:ascii="Arial" w:hAnsi="Arial" w:cs="Arial"/>
                <w:sz w:val="24"/>
                <w:szCs w:val="24"/>
              </w:rPr>
              <w:t xml:space="preserve"> (Managing to minimise) the risk of accident, injury or harm to a member of staff, service user, contractor, or other 3rd parties. </w:t>
            </w:r>
          </w:p>
          <w:p w14:paraId="47883620" w14:textId="77777777" w:rsidR="00E465E2" w:rsidRDefault="00E465E2">
            <w:pPr>
              <w:pStyle w:val="ListParagraph"/>
              <w:rPr>
                <w:rFonts w:ascii="Arial" w:hAnsi="Arial" w:cs="Arial"/>
                <w:szCs w:val="24"/>
              </w:rPr>
            </w:pPr>
          </w:p>
          <w:p w14:paraId="4F913FDE" w14:textId="77777777" w:rsidR="00E465E2" w:rsidRDefault="00E465E2" w:rsidP="00E465E2">
            <w:pPr>
              <w:pStyle w:val="ListParagraph"/>
              <w:numPr>
                <w:ilvl w:val="0"/>
                <w:numId w:val="8"/>
              </w:numPr>
              <w:contextualSpacing/>
              <w:rPr>
                <w:rFonts w:ascii="Arial" w:eastAsia="Arial" w:hAnsi="Arial" w:cs="Arial"/>
                <w:sz w:val="24"/>
                <w:szCs w:val="24"/>
              </w:rPr>
            </w:pPr>
            <w:r>
              <w:rPr>
                <w:rFonts w:ascii="Arial" w:hAnsi="Arial" w:cs="Arial"/>
                <w:b/>
                <w:bCs/>
                <w:sz w:val="24"/>
                <w:szCs w:val="24"/>
              </w:rPr>
              <w:t xml:space="preserve">FC014 Workforce Challenges – </w:t>
            </w:r>
            <w:r>
              <w:rPr>
                <w:rFonts w:ascii="Arial" w:hAnsi="Arial" w:cs="Arial"/>
                <w:sz w:val="24"/>
                <w:szCs w:val="24"/>
              </w:rPr>
              <w:t>a range of factors at national and local level which combine to create a more competitive labour market and</w:t>
            </w:r>
            <w:r>
              <w:rPr>
                <w:rFonts w:ascii="Arial" w:eastAsia="Arial" w:hAnsi="Arial" w:cs="Arial"/>
                <w:color w:val="1D2828"/>
                <w:sz w:val="24"/>
                <w:szCs w:val="24"/>
              </w:rPr>
              <w:t xml:space="preserve"> potentially more challenging organisation to resource and develop in keeping with the Council’s vision.</w:t>
            </w:r>
          </w:p>
          <w:p w14:paraId="124C041D" w14:textId="77777777" w:rsidR="00E465E2" w:rsidRDefault="00E465E2">
            <w:pPr>
              <w:pStyle w:val="ListParagraph"/>
              <w:rPr>
                <w:rFonts w:ascii="Arial" w:hAnsi="Arial" w:cs="Arial"/>
                <w:szCs w:val="24"/>
              </w:rPr>
            </w:pPr>
          </w:p>
          <w:p w14:paraId="0946858F" w14:textId="77777777" w:rsidR="00E465E2" w:rsidRPr="006B1B1B"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 xml:space="preserve">FC015 Ineffective Information Governance- </w:t>
            </w:r>
            <w:r w:rsidRPr="5C6B0E95">
              <w:rPr>
                <w:rFonts w:ascii="Arial" w:hAnsi="Arial" w:cs="Arial"/>
                <w:sz w:val="24"/>
                <w:szCs w:val="24"/>
              </w:rPr>
              <w:t>a failure to meet statutory responsibilities under GDPR, DPA, FOISA, EIR and PR(S)A</w:t>
            </w:r>
            <w:r>
              <w:rPr>
                <w:rFonts w:ascii="Arial" w:hAnsi="Arial" w:cs="Arial"/>
                <w:sz w:val="24"/>
                <w:szCs w:val="24"/>
              </w:rPr>
              <w:t>.</w:t>
            </w:r>
            <w:r w:rsidRPr="5C6B0E95">
              <w:rPr>
                <w:rFonts w:ascii="Arial" w:hAnsi="Arial" w:cs="Arial"/>
                <w:sz w:val="24"/>
                <w:szCs w:val="24"/>
              </w:rPr>
              <w:t xml:space="preserve"> </w:t>
            </w:r>
          </w:p>
          <w:p w14:paraId="717E7B30" w14:textId="77777777" w:rsidR="00E465E2" w:rsidRDefault="00E465E2">
            <w:pPr>
              <w:pStyle w:val="ListParagraph"/>
              <w:contextualSpacing/>
              <w:rPr>
                <w:rFonts w:ascii="Arial" w:hAnsi="Arial" w:cs="Arial"/>
                <w:b/>
                <w:sz w:val="24"/>
                <w:szCs w:val="24"/>
              </w:rPr>
            </w:pPr>
          </w:p>
          <w:p w14:paraId="1C48E224" w14:textId="77777777" w:rsidR="00E465E2" w:rsidRPr="006B1B1B" w:rsidRDefault="00E465E2" w:rsidP="00E465E2">
            <w:pPr>
              <w:pStyle w:val="ListParagraph"/>
              <w:numPr>
                <w:ilvl w:val="0"/>
                <w:numId w:val="8"/>
              </w:numPr>
              <w:contextualSpacing/>
              <w:rPr>
                <w:rFonts w:ascii="Arial" w:hAnsi="Arial" w:cs="Arial"/>
                <w:sz w:val="24"/>
                <w:szCs w:val="24"/>
              </w:rPr>
            </w:pPr>
            <w:r>
              <w:rPr>
                <w:rFonts w:ascii="Arial" w:hAnsi="Arial" w:cs="Arial"/>
                <w:b/>
                <w:sz w:val="24"/>
                <w:szCs w:val="24"/>
              </w:rPr>
              <w:t xml:space="preserve">FC016 Ineffective Transformational Change Agenda/Strategic Planning- </w:t>
            </w:r>
            <w:r w:rsidRPr="5C6B0E95">
              <w:rPr>
                <w:rFonts w:ascii="Arial" w:hAnsi="Arial" w:cs="Arial"/>
                <w:sz w:val="24"/>
                <w:szCs w:val="24"/>
              </w:rPr>
              <w:t>the Council does improve significantly or at pace</w:t>
            </w:r>
            <w:r>
              <w:rPr>
                <w:rFonts w:ascii="Arial" w:hAnsi="Arial" w:cs="Arial"/>
                <w:sz w:val="24"/>
                <w:szCs w:val="24"/>
              </w:rPr>
              <w:t>.</w:t>
            </w:r>
            <w:r w:rsidRPr="5C6B0E95">
              <w:rPr>
                <w:rFonts w:ascii="Arial" w:hAnsi="Arial" w:cs="Arial"/>
                <w:sz w:val="24"/>
                <w:szCs w:val="24"/>
              </w:rPr>
              <w:t xml:space="preserve"> </w:t>
            </w:r>
          </w:p>
          <w:p w14:paraId="331842BD" w14:textId="77777777" w:rsidR="00E465E2" w:rsidRDefault="00E465E2">
            <w:pPr>
              <w:pStyle w:val="ListParagraph"/>
              <w:contextualSpacing/>
              <w:rPr>
                <w:rFonts w:ascii="Arial" w:hAnsi="Arial" w:cs="Arial"/>
                <w:b/>
                <w:sz w:val="24"/>
                <w:szCs w:val="24"/>
              </w:rPr>
            </w:pPr>
          </w:p>
          <w:p w14:paraId="44C52753" w14:textId="77777777" w:rsidR="00E465E2" w:rsidRPr="00E465E2" w:rsidRDefault="00E465E2" w:rsidP="00E465E2">
            <w:pPr>
              <w:pStyle w:val="ListParagraph"/>
              <w:numPr>
                <w:ilvl w:val="0"/>
                <w:numId w:val="8"/>
              </w:numPr>
              <w:contextualSpacing/>
              <w:rPr>
                <w:rFonts w:ascii="Arial" w:hAnsi="Arial" w:cs="Arial"/>
                <w:b/>
                <w:sz w:val="24"/>
                <w:szCs w:val="24"/>
              </w:rPr>
            </w:pPr>
            <w:r>
              <w:rPr>
                <w:rFonts w:ascii="Arial" w:hAnsi="Arial" w:cs="Arial"/>
                <w:b/>
                <w:sz w:val="24"/>
                <w:szCs w:val="24"/>
              </w:rPr>
              <w:t>FC017 Legal and Regulatory Compliance Failure</w:t>
            </w:r>
            <w:r w:rsidRPr="5C6B0E95">
              <w:rPr>
                <w:rFonts w:ascii="Arial" w:hAnsi="Arial" w:cs="Arial"/>
                <w:b/>
                <w:bCs/>
                <w:sz w:val="24"/>
                <w:szCs w:val="24"/>
              </w:rPr>
              <w:t xml:space="preserve">- </w:t>
            </w:r>
            <w:r w:rsidRPr="5C6B0E95">
              <w:rPr>
                <w:rFonts w:ascii="Arial" w:hAnsi="Arial" w:cs="Arial"/>
                <w:sz w:val="24"/>
                <w:szCs w:val="24"/>
              </w:rPr>
              <w:t>the Council does not plan effectively to meet legislative changes or is in breach of its statutory obligations</w:t>
            </w:r>
            <w:r>
              <w:rPr>
                <w:rFonts w:ascii="Arial" w:hAnsi="Arial" w:cs="Arial"/>
                <w:sz w:val="24"/>
                <w:szCs w:val="24"/>
              </w:rPr>
              <w:t>.</w:t>
            </w:r>
          </w:p>
          <w:p w14:paraId="5A826CBF" w14:textId="77777777" w:rsidR="00E465E2" w:rsidRDefault="00E465E2">
            <w:pPr>
              <w:rPr>
                <w:rFonts w:ascii="Arial" w:eastAsia="Calibri" w:hAnsi="Arial" w:cs="Arial"/>
                <w:szCs w:val="24"/>
                <w:lang w:eastAsia="en-US"/>
              </w:rPr>
            </w:pPr>
          </w:p>
          <w:p w14:paraId="4CDF2749" w14:textId="77777777" w:rsidR="00E465E2" w:rsidRDefault="00E465E2">
            <w:pPr>
              <w:rPr>
                <w:szCs w:val="24"/>
              </w:rPr>
            </w:pPr>
            <w:r w:rsidRPr="00F47ACF">
              <w:rPr>
                <w:szCs w:val="24"/>
              </w:rPr>
              <w:t>These represent substantial risks, and we hav</w:t>
            </w:r>
            <w:r>
              <w:rPr>
                <w:szCs w:val="24"/>
              </w:rPr>
              <w:t>e</w:t>
            </w:r>
            <w:r w:rsidRPr="00F47ACF">
              <w:rPr>
                <w:szCs w:val="24"/>
              </w:rPr>
              <w:t xml:space="preserve"> controls </w:t>
            </w:r>
            <w:r>
              <w:rPr>
                <w:szCs w:val="24"/>
              </w:rPr>
              <w:t xml:space="preserve">in place </w:t>
            </w:r>
            <w:r w:rsidRPr="00F47ACF">
              <w:rPr>
                <w:szCs w:val="24"/>
              </w:rPr>
              <w:t>to proactively mitigate any potential impact.</w:t>
            </w:r>
          </w:p>
          <w:p w14:paraId="143E1080" w14:textId="77777777" w:rsidR="00615D11" w:rsidRDefault="00615D11">
            <w:pPr>
              <w:rPr>
                <w:szCs w:val="24"/>
              </w:rPr>
            </w:pPr>
          </w:p>
          <w:p w14:paraId="5892D42C" w14:textId="68AB71EA" w:rsidR="00615D11" w:rsidRPr="00C81032" w:rsidRDefault="00615D11" w:rsidP="00A07022">
            <w:pPr>
              <w:ind w:left="33"/>
              <w:rPr>
                <w:szCs w:val="24"/>
              </w:rPr>
            </w:pPr>
          </w:p>
        </w:tc>
      </w:tr>
      <w:tr w:rsidR="00E465E2" w:rsidRPr="004F62A2" w14:paraId="5CC00C85" w14:textId="77777777" w:rsidTr="00F00E02">
        <w:trPr>
          <w:trHeight w:val="431"/>
        </w:trPr>
        <w:tc>
          <w:tcPr>
            <w:tcW w:w="10305" w:type="dxa"/>
            <w:gridSpan w:val="2"/>
            <w:shd w:val="clear" w:color="auto" w:fill="4472C4" w:themeFill="accent1"/>
          </w:tcPr>
          <w:p w14:paraId="178B797A" w14:textId="77777777" w:rsidR="00E465E2" w:rsidRDefault="00E465E2">
            <w:pPr>
              <w:jc w:val="center"/>
              <w:rPr>
                <w:b/>
                <w:bCs/>
                <w:color w:val="FFFFFF"/>
                <w:sz w:val="28"/>
                <w:szCs w:val="28"/>
              </w:rPr>
            </w:pPr>
            <w:r>
              <w:rPr>
                <w:b/>
                <w:bCs/>
                <w:color w:val="FFFFFF"/>
                <w:sz w:val="28"/>
                <w:szCs w:val="28"/>
              </w:rPr>
              <w:lastRenderedPageBreak/>
              <w:t>KEY OUTCOMES (LGBF/P4F)</w:t>
            </w:r>
          </w:p>
        </w:tc>
      </w:tr>
      <w:tr w:rsidR="00E465E2" w:rsidRPr="00BB7B76" w14:paraId="667C3A9B" w14:textId="77777777" w:rsidTr="00F00E02">
        <w:trPr>
          <w:trHeight w:val="3540"/>
        </w:trPr>
        <w:tc>
          <w:tcPr>
            <w:tcW w:w="10305" w:type="dxa"/>
            <w:gridSpan w:val="2"/>
            <w:shd w:val="clear" w:color="auto" w:fill="auto"/>
          </w:tcPr>
          <w:p w14:paraId="4EAD23EE" w14:textId="77777777" w:rsidR="00E465E2" w:rsidRDefault="00E465E2">
            <w:pPr>
              <w:rPr>
                <w:color w:val="4472C4"/>
                <w:sz w:val="20"/>
              </w:rPr>
            </w:pPr>
          </w:p>
          <w:p w14:paraId="63484497" w14:textId="1F4381B3" w:rsidR="00E465E2" w:rsidRDefault="00E465E2">
            <w:pPr>
              <w:rPr>
                <w:color w:val="4472C4"/>
                <w:sz w:val="20"/>
              </w:rPr>
            </w:pPr>
            <w:r>
              <w:rPr>
                <w:noProof/>
              </w:rPr>
              <mc:AlternateContent>
                <mc:Choice Requires="wps">
                  <w:drawing>
                    <wp:anchor distT="0" distB="0" distL="114300" distR="114300" simplePos="0" relativeHeight="251658242" behindDoc="0" locked="0" layoutInCell="1" allowOverlap="1" wp14:anchorId="69C4C7E0" wp14:editId="21EDD2A2">
                      <wp:simplePos x="0" y="0"/>
                      <wp:positionH relativeFrom="column">
                        <wp:posOffset>3710939</wp:posOffset>
                      </wp:positionH>
                      <wp:positionV relativeFrom="paragraph">
                        <wp:posOffset>1185545</wp:posOffset>
                      </wp:positionV>
                      <wp:extent cx="2600325" cy="914400"/>
                      <wp:effectExtent l="0" t="0" r="28575" b="19050"/>
                      <wp:wrapNone/>
                      <wp:docPr id="1500331396" name="Text Box 150033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914400"/>
                              </a:xfrm>
                              <a:prstGeom prst="rect">
                                <a:avLst/>
                              </a:prstGeom>
                              <a:solidFill>
                                <a:sysClr val="window" lastClr="FFFFFF"/>
                              </a:solidFill>
                              <a:ln w="6350">
                                <a:solidFill>
                                  <a:prstClr val="black"/>
                                </a:solidFill>
                              </a:ln>
                            </wps:spPr>
                            <wps:txbx>
                              <w:txbxContent>
                                <w:p w14:paraId="4DDB69CC" w14:textId="77777777" w:rsidR="00E465E2" w:rsidRPr="004E1324" w:rsidRDefault="00E465E2" w:rsidP="00E465E2">
                                  <w:pPr>
                                    <w:rPr>
                                      <w:rFonts w:ascii="Arial" w:hAnsi="Arial" w:cs="Arial"/>
                                      <w:color w:val="4472C4"/>
                                      <w:sz w:val="20"/>
                                    </w:rPr>
                                  </w:pPr>
                                  <w:r w:rsidRPr="004E1324">
                                    <w:rPr>
                                      <w:rFonts w:ascii="Arial" w:hAnsi="Arial" w:cs="Arial"/>
                                      <w:color w:val="4472C4"/>
                                      <w:sz w:val="20"/>
                                    </w:rPr>
                                    <w:t>As shown in chart opposite there is 1 indicator in the top quartile, 4 indicators in the 2</w:t>
                                  </w:r>
                                  <w:r w:rsidRPr="004E1324">
                                    <w:rPr>
                                      <w:rFonts w:ascii="Arial" w:hAnsi="Arial" w:cs="Arial"/>
                                      <w:color w:val="4472C4"/>
                                      <w:sz w:val="20"/>
                                      <w:vertAlign w:val="superscript"/>
                                    </w:rPr>
                                    <w:t>nd</w:t>
                                  </w:r>
                                  <w:r w:rsidRPr="004E1324">
                                    <w:rPr>
                                      <w:rFonts w:ascii="Arial" w:hAnsi="Arial" w:cs="Arial"/>
                                      <w:color w:val="4472C4"/>
                                      <w:sz w:val="20"/>
                                    </w:rPr>
                                    <w:t xml:space="preserve"> quartile, 3 indicators in the 3</w:t>
                                  </w:r>
                                  <w:r w:rsidRPr="004E1324">
                                    <w:rPr>
                                      <w:rFonts w:ascii="Arial" w:hAnsi="Arial" w:cs="Arial"/>
                                      <w:color w:val="4472C4"/>
                                      <w:sz w:val="20"/>
                                      <w:vertAlign w:val="superscript"/>
                                    </w:rPr>
                                    <w:t>rd</w:t>
                                  </w:r>
                                  <w:r w:rsidRPr="004E1324">
                                    <w:rPr>
                                      <w:rFonts w:ascii="Arial" w:hAnsi="Arial" w:cs="Arial"/>
                                      <w:color w:val="4472C4"/>
                                      <w:sz w:val="20"/>
                                    </w:rPr>
                                    <w:t xml:space="preserve"> quartile and 2 indicators in the bottom quartile as per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C4C7E0" id="_x0000_t202" coordsize="21600,21600" o:spt="202" path="m,l,21600r21600,l21600,xe">
                      <v:stroke joinstyle="miter"/>
                      <v:path gradientshapeok="t" o:connecttype="rect"/>
                    </v:shapetype>
                    <v:shape id="Text Box 1500331396" o:spid="_x0000_s1026" type="#_x0000_t202" style="position:absolute;margin-left:292.2pt;margin-top:93.35pt;width:204.75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" fillcolor="window" strokeweight=".5pt">
                      <v:path arrowok="t"/>
                      <v:textbox>
                        <w:txbxContent>
                          <w:p w14:paraId="4DDB69CC" w14:textId="77777777" w:rsidR="00E465E2" w:rsidRPr="004E1324" w:rsidRDefault="00E465E2" w:rsidP="00E465E2">
                            <w:pPr>
                              <w:rPr>
                                <w:rFonts w:ascii="Arial" w:hAnsi="Arial" w:cs="Arial"/>
                                <w:color w:val="4472C4"/>
                                <w:sz w:val="20"/>
                              </w:rPr>
                            </w:pPr>
                            <w:r w:rsidRPr="004E1324">
                              <w:rPr>
                                <w:rFonts w:ascii="Arial" w:hAnsi="Arial" w:cs="Arial"/>
                                <w:color w:val="4472C4"/>
                                <w:sz w:val="20"/>
                              </w:rPr>
                              <w:t>As shown in chart opposite there is 1 indicator in the top quartile, 4 indicators in the 2</w:t>
                            </w:r>
                            <w:r w:rsidRPr="004E1324">
                              <w:rPr>
                                <w:rFonts w:ascii="Arial" w:hAnsi="Arial" w:cs="Arial"/>
                                <w:color w:val="4472C4"/>
                                <w:sz w:val="20"/>
                                <w:vertAlign w:val="superscript"/>
                              </w:rPr>
                              <w:t>nd</w:t>
                            </w:r>
                            <w:r w:rsidRPr="004E1324">
                              <w:rPr>
                                <w:rFonts w:ascii="Arial" w:hAnsi="Arial" w:cs="Arial"/>
                                <w:color w:val="4472C4"/>
                                <w:sz w:val="20"/>
                              </w:rPr>
                              <w:t xml:space="preserve"> quartile, 3 indicators in the 3</w:t>
                            </w:r>
                            <w:r w:rsidRPr="004E1324">
                              <w:rPr>
                                <w:rFonts w:ascii="Arial" w:hAnsi="Arial" w:cs="Arial"/>
                                <w:color w:val="4472C4"/>
                                <w:sz w:val="20"/>
                                <w:vertAlign w:val="superscript"/>
                              </w:rPr>
                              <w:t>rd</w:t>
                            </w:r>
                            <w:r w:rsidRPr="004E1324">
                              <w:rPr>
                                <w:rFonts w:ascii="Arial" w:hAnsi="Arial" w:cs="Arial"/>
                                <w:color w:val="4472C4"/>
                                <w:sz w:val="20"/>
                              </w:rPr>
                              <w:t xml:space="preserve"> quartile and 2 indicators in the bottom quartile as per table below.</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D34DED3" wp14:editId="645A572D">
                      <wp:simplePos x="0" y="0"/>
                      <wp:positionH relativeFrom="column">
                        <wp:posOffset>3702685</wp:posOffset>
                      </wp:positionH>
                      <wp:positionV relativeFrom="paragraph">
                        <wp:posOffset>29845</wp:posOffset>
                      </wp:positionV>
                      <wp:extent cx="2625090" cy="986790"/>
                      <wp:effectExtent l="0" t="0" r="22860" b="22860"/>
                      <wp:wrapSquare wrapText="bothSides"/>
                      <wp:docPr id="1835484769" name="Text Box 1835484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090" cy="986790"/>
                              </a:xfrm>
                              <a:prstGeom prst="rect">
                                <a:avLst/>
                              </a:prstGeom>
                              <a:noFill/>
                              <a:ln w="6350">
                                <a:solidFill>
                                  <a:prstClr val="black"/>
                                </a:solidFill>
                              </a:ln>
                            </wps:spPr>
                            <wps:txbx>
                              <w:txbxContent>
                                <w:p w14:paraId="75769092" w14:textId="77777777" w:rsidR="00E465E2" w:rsidRPr="00415261" w:rsidRDefault="00E465E2" w:rsidP="00E465E2">
                                  <w:pPr>
                                    <w:rPr>
                                      <w:color w:val="4472C4"/>
                                      <w:sz w:val="20"/>
                                    </w:rPr>
                                  </w:pPr>
                                  <w:r w:rsidRPr="00415261">
                                    <w:rPr>
                                      <w:color w:val="4472C4"/>
                                      <w:sz w:val="20"/>
                                    </w:rPr>
                                    <w:t>Key - Top quartile - Ranked 1-8 in Scotland</w:t>
                                  </w:r>
                                </w:p>
                                <w:p w14:paraId="60952C98" w14:textId="77777777" w:rsidR="00E465E2" w:rsidRPr="00415261" w:rsidRDefault="00E465E2" w:rsidP="00E465E2">
                                  <w:pPr>
                                    <w:rPr>
                                      <w:color w:val="4472C4"/>
                                      <w:sz w:val="20"/>
                                    </w:rPr>
                                  </w:pPr>
                                  <w:r w:rsidRPr="00415261">
                                    <w:rPr>
                                      <w:color w:val="4472C4"/>
                                      <w:sz w:val="20"/>
                                    </w:rPr>
                                    <w:t>2nd quartile - Ranked 9-16 in Scotland</w:t>
                                  </w:r>
                                </w:p>
                                <w:p w14:paraId="55DCB14A" w14:textId="77777777" w:rsidR="00E465E2" w:rsidRPr="00415261" w:rsidRDefault="00E465E2" w:rsidP="00E465E2">
                                  <w:pPr>
                                    <w:rPr>
                                      <w:color w:val="4472C4"/>
                                      <w:sz w:val="20"/>
                                    </w:rPr>
                                  </w:pPr>
                                  <w:r w:rsidRPr="00415261">
                                    <w:rPr>
                                      <w:color w:val="4472C4"/>
                                      <w:sz w:val="20"/>
                                    </w:rPr>
                                    <w:t>3rd quartile - Ranked 17-24 in Scotland</w:t>
                                  </w:r>
                                </w:p>
                                <w:p w14:paraId="0E8A3735" w14:textId="77777777" w:rsidR="00E465E2" w:rsidRPr="00415261" w:rsidRDefault="00E465E2" w:rsidP="00E465E2">
                                  <w:pPr>
                                    <w:spacing w:after="0"/>
                                    <w:rPr>
                                      <w:color w:val="4472C4"/>
                                      <w:sz w:val="20"/>
                                    </w:rPr>
                                  </w:pPr>
                                  <w:r w:rsidRPr="00415261">
                                    <w:rPr>
                                      <w:color w:val="4472C4"/>
                                      <w:sz w:val="20"/>
                                    </w:rPr>
                                    <w:t>Bottom quartile - Ranked 25-32 in Scotland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D34DED3" id="Text Box 1835484769" o:spid="_x0000_s1027" type="#_x0000_t202" style="position:absolute;margin-left:291.55pt;margin-top:2.35pt;width:206.7pt;height:77.7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" filled="f" strokeweight=".5pt">
                      <v:path arrowok="t"/>
                      <v:textbox style="mso-fit-shape-to-text:t">
                        <w:txbxContent>
                          <w:p w14:paraId="75769092" w14:textId="77777777" w:rsidR="00E465E2" w:rsidRPr="00415261" w:rsidRDefault="00E465E2" w:rsidP="00E465E2">
                            <w:pPr>
                              <w:rPr>
                                <w:color w:val="4472C4"/>
                                <w:sz w:val="20"/>
                              </w:rPr>
                            </w:pPr>
                            <w:r w:rsidRPr="00415261">
                              <w:rPr>
                                <w:color w:val="4472C4"/>
                                <w:sz w:val="20"/>
                              </w:rPr>
                              <w:t>Key - Top quartile - Ranked 1-8 in Scotland</w:t>
                            </w:r>
                          </w:p>
                          <w:p w14:paraId="60952C98" w14:textId="77777777" w:rsidR="00E465E2" w:rsidRPr="00415261" w:rsidRDefault="00E465E2" w:rsidP="00E465E2">
                            <w:pPr>
                              <w:rPr>
                                <w:color w:val="4472C4"/>
                                <w:sz w:val="20"/>
                              </w:rPr>
                            </w:pPr>
                            <w:r w:rsidRPr="00415261">
                              <w:rPr>
                                <w:color w:val="4472C4"/>
                                <w:sz w:val="20"/>
                              </w:rPr>
                              <w:t>2nd quartile - Ranked 9-16 in Scotland</w:t>
                            </w:r>
                          </w:p>
                          <w:p w14:paraId="55DCB14A" w14:textId="77777777" w:rsidR="00E465E2" w:rsidRPr="00415261" w:rsidRDefault="00E465E2" w:rsidP="00E465E2">
                            <w:pPr>
                              <w:rPr>
                                <w:color w:val="4472C4"/>
                                <w:sz w:val="20"/>
                              </w:rPr>
                            </w:pPr>
                            <w:r w:rsidRPr="00415261">
                              <w:rPr>
                                <w:color w:val="4472C4"/>
                                <w:sz w:val="20"/>
                              </w:rPr>
                              <w:t>3rd quartile - Ranked 17-24 in Scotland</w:t>
                            </w:r>
                          </w:p>
                          <w:p w14:paraId="0E8A3735" w14:textId="77777777" w:rsidR="00E465E2" w:rsidRPr="00415261" w:rsidRDefault="00E465E2" w:rsidP="00E465E2">
                            <w:pPr>
                              <w:spacing w:after="0"/>
                              <w:rPr>
                                <w:color w:val="4472C4"/>
                                <w:sz w:val="20"/>
                              </w:rPr>
                            </w:pPr>
                            <w:r w:rsidRPr="00415261">
                              <w:rPr>
                                <w:color w:val="4472C4"/>
                                <w:sz w:val="20"/>
                              </w:rPr>
                              <w:t>Bottom quartile - Ranked 25-32 in Scotland</w:t>
                            </w:r>
                          </w:p>
                        </w:txbxContent>
                      </v:textbox>
                      <w10:wrap type="square"/>
                    </v:shape>
                  </w:pict>
                </mc:Fallback>
              </mc:AlternateContent>
            </w:r>
            <w:r>
              <w:rPr>
                <w:noProof/>
              </w:rPr>
              <w:drawing>
                <wp:inline distT="0" distB="0" distL="0" distR="0" wp14:anchorId="3055278F" wp14:editId="35E31A71">
                  <wp:extent cx="3470275" cy="2178050"/>
                  <wp:effectExtent l="0" t="0" r="15875" b="12700"/>
                  <wp:docPr id="211308164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465E2" w:rsidRPr="00BB7B76" w14:paraId="3C310551" w14:textId="77777777" w:rsidTr="00F00E02">
        <w:trPr>
          <w:trHeight w:val="2041"/>
        </w:trPr>
        <w:tc>
          <w:tcPr>
            <w:tcW w:w="10305" w:type="dxa"/>
            <w:gridSpan w:val="2"/>
            <w:shd w:val="clear" w:color="auto" w:fill="auto"/>
          </w:tcPr>
          <w:p w14:paraId="46E13FC6" w14:textId="77777777" w:rsidR="00E465E2" w:rsidRPr="002F560E" w:rsidRDefault="00E465E2">
            <w:pPr>
              <w:rPr>
                <w:rFonts w:eastAsia="Yu Mincho"/>
              </w:rPr>
            </w:pPr>
            <w:r w:rsidRPr="002F560E">
              <w:rPr>
                <w:rFonts w:eastAsia="Yu Mincho"/>
              </w:rPr>
              <w:t xml:space="preserve">Due to the timing of the report to the Committee, the LGBF Figures for 2022/23 will not be published until 2024 on the Improvement Service website. </w:t>
            </w:r>
            <w:r>
              <w:rPr>
                <w:rFonts w:eastAsia="Yu Mincho"/>
              </w:rPr>
              <w:t>T</w:t>
            </w:r>
            <w:r w:rsidRPr="002F560E">
              <w:rPr>
                <w:rFonts w:eastAsia="Yu Mincho"/>
              </w:rPr>
              <w:t>he table below</w:t>
            </w:r>
            <w:r>
              <w:rPr>
                <w:rFonts w:eastAsia="Yu Mincho"/>
              </w:rPr>
              <w:t xml:space="preserve"> gives Fifes</w:t>
            </w:r>
            <w:r w:rsidRPr="002F560E">
              <w:rPr>
                <w:rFonts w:eastAsia="Yu Mincho"/>
              </w:rPr>
              <w:t xml:space="preserve"> figures for 2022/23 from internal sources on progress.   </w:t>
            </w:r>
            <w:r>
              <w:rPr>
                <w:rFonts w:eastAsia="Yu Mincho"/>
              </w:rPr>
              <w:t xml:space="preserve">Many of the LGBF indicators are Council wide rather than for the Directorate alone.  </w:t>
            </w:r>
          </w:p>
          <w:p w14:paraId="4A58653F" w14:textId="77777777" w:rsidR="00E465E2" w:rsidRPr="0096302D" w:rsidRDefault="00E465E2">
            <w:pPr>
              <w:pStyle w:val="paragraph"/>
              <w:spacing w:before="0" w:beforeAutospacing="0" w:after="0" w:afterAutospacing="0"/>
              <w:textAlignment w:val="baseline"/>
              <w:rPr>
                <w:rFonts w:ascii="Arial" w:hAnsi="Arial" w:cs="Arial"/>
                <w:lang w:eastAsia="en-US"/>
              </w:rPr>
            </w:pPr>
            <w:r>
              <w:rPr>
                <w:rFonts w:ascii="Arial" w:hAnsi="Arial" w:cs="Arial"/>
                <w:lang w:eastAsia="en-US"/>
              </w:rPr>
              <w:t xml:space="preserve">Further narrative on these indicators is detailed throughout this document. </w:t>
            </w:r>
          </w:p>
        </w:tc>
      </w:tr>
      <w:tr w:rsidR="00E465E2" w:rsidRPr="00BB7B76" w14:paraId="72575D03" w14:textId="77777777" w:rsidTr="00F00E02">
        <w:trPr>
          <w:trHeight w:val="70"/>
        </w:trPr>
        <w:tc>
          <w:tcPr>
            <w:tcW w:w="10305" w:type="dxa"/>
            <w:gridSpan w:val="2"/>
            <w:shd w:val="clear" w:color="auto" w:fill="auto"/>
          </w:tcPr>
          <w:p w14:paraId="3FA5CFB0" w14:textId="77777777" w:rsidR="00E465E2" w:rsidRDefault="00E465E2">
            <w:pPr>
              <w:rPr>
                <w:rFonts w:cs="Calibri"/>
                <w:color w:val="2E74B5"/>
                <w:szCs w:val="24"/>
              </w:rPr>
            </w:pPr>
          </w:p>
          <w:tbl>
            <w:tblPr>
              <w:tblW w:w="9938" w:type="dxa"/>
              <w:tblLook w:val="04A0" w:firstRow="1" w:lastRow="0" w:firstColumn="1" w:lastColumn="0" w:noHBand="0" w:noVBand="1"/>
            </w:tblPr>
            <w:tblGrid>
              <w:gridCol w:w="4043"/>
              <w:gridCol w:w="1168"/>
              <w:gridCol w:w="1105"/>
              <w:gridCol w:w="1058"/>
              <w:gridCol w:w="1294"/>
              <w:gridCol w:w="1270"/>
            </w:tblGrid>
            <w:tr w:rsidR="00E465E2" w:rsidRPr="00FF3A03" w14:paraId="555AEA86" w14:textId="77777777">
              <w:trPr>
                <w:trHeight w:val="313"/>
              </w:trPr>
              <w:tc>
                <w:tcPr>
                  <w:tcW w:w="4043" w:type="dxa"/>
                  <w:tcBorders>
                    <w:top w:val="nil"/>
                    <w:left w:val="single" w:sz="8" w:space="0" w:color="C0C0C0"/>
                    <w:bottom w:val="nil"/>
                    <w:right w:val="nil"/>
                  </w:tcBorders>
                  <w:shd w:val="clear" w:color="auto" w:fill="4472C4" w:themeFill="accent1"/>
                  <w:hideMark/>
                </w:tcPr>
                <w:p w14:paraId="571D75EB" w14:textId="77777777" w:rsidR="00E465E2" w:rsidRPr="009A4639" w:rsidRDefault="00E465E2">
                  <w:pPr>
                    <w:spacing w:after="0"/>
                    <w:rPr>
                      <w:rFonts w:ascii="Arial" w:eastAsia="Times New Roman" w:hAnsi="Arial" w:cs="Arial"/>
                      <w:color w:val="FFFFFF"/>
                      <w:sz w:val="18"/>
                      <w:szCs w:val="18"/>
                    </w:rPr>
                  </w:pPr>
                  <w:r w:rsidRPr="009A4639">
                    <w:rPr>
                      <w:rFonts w:ascii="Arial" w:eastAsia="Times New Roman" w:hAnsi="Arial" w:cs="Arial"/>
                      <w:color w:val="FFFFFF"/>
                      <w:sz w:val="18"/>
                      <w:szCs w:val="18"/>
                    </w:rPr>
                    <w:t>LGBF</w:t>
                  </w:r>
                </w:p>
              </w:tc>
              <w:tc>
                <w:tcPr>
                  <w:tcW w:w="1168" w:type="dxa"/>
                  <w:tcBorders>
                    <w:top w:val="nil"/>
                    <w:left w:val="nil"/>
                    <w:bottom w:val="single" w:sz="8" w:space="0" w:color="C0C0C0"/>
                    <w:right w:val="nil"/>
                  </w:tcBorders>
                  <w:shd w:val="clear" w:color="auto" w:fill="4472C4" w:themeFill="accent1"/>
                  <w:hideMark/>
                </w:tcPr>
                <w:p w14:paraId="20419030" w14:textId="77777777" w:rsidR="00E465E2" w:rsidRPr="009A4639" w:rsidRDefault="00E465E2">
                  <w:pPr>
                    <w:spacing w:after="0"/>
                    <w:jc w:val="right"/>
                    <w:rPr>
                      <w:rFonts w:ascii="Arial" w:eastAsia="Times New Roman" w:hAnsi="Arial" w:cs="Arial"/>
                      <w:color w:val="FFFFFF"/>
                      <w:sz w:val="18"/>
                      <w:szCs w:val="18"/>
                    </w:rPr>
                  </w:pPr>
                  <w:r w:rsidRPr="009A4639">
                    <w:rPr>
                      <w:rFonts w:ascii="Arial" w:eastAsia="Times New Roman" w:hAnsi="Arial" w:cs="Arial"/>
                      <w:color w:val="FFFFFF"/>
                      <w:sz w:val="18"/>
                      <w:szCs w:val="18"/>
                    </w:rPr>
                    <w:t>2018/19</w:t>
                  </w:r>
                </w:p>
              </w:tc>
              <w:tc>
                <w:tcPr>
                  <w:tcW w:w="1105" w:type="dxa"/>
                  <w:tcBorders>
                    <w:top w:val="nil"/>
                    <w:left w:val="nil"/>
                    <w:bottom w:val="single" w:sz="8" w:space="0" w:color="C0C0C0"/>
                    <w:right w:val="nil"/>
                  </w:tcBorders>
                  <w:shd w:val="clear" w:color="auto" w:fill="4472C4" w:themeFill="accent1"/>
                  <w:hideMark/>
                </w:tcPr>
                <w:p w14:paraId="0E4556C9" w14:textId="77777777" w:rsidR="00E465E2" w:rsidRPr="009A4639" w:rsidRDefault="00E465E2">
                  <w:pPr>
                    <w:spacing w:after="0"/>
                    <w:jc w:val="right"/>
                    <w:rPr>
                      <w:rFonts w:ascii="Arial" w:eastAsia="Times New Roman" w:hAnsi="Arial" w:cs="Arial"/>
                      <w:color w:val="FFFFFF"/>
                      <w:sz w:val="18"/>
                      <w:szCs w:val="18"/>
                    </w:rPr>
                  </w:pPr>
                  <w:r w:rsidRPr="009A4639">
                    <w:rPr>
                      <w:rFonts w:ascii="Arial" w:eastAsia="Times New Roman" w:hAnsi="Arial" w:cs="Arial"/>
                      <w:color w:val="FFFFFF"/>
                      <w:sz w:val="18"/>
                      <w:szCs w:val="18"/>
                    </w:rPr>
                    <w:t>2019/20</w:t>
                  </w:r>
                </w:p>
              </w:tc>
              <w:tc>
                <w:tcPr>
                  <w:tcW w:w="1058" w:type="dxa"/>
                  <w:tcBorders>
                    <w:top w:val="nil"/>
                    <w:left w:val="nil"/>
                    <w:bottom w:val="single" w:sz="8" w:space="0" w:color="C0C0C0"/>
                    <w:right w:val="nil"/>
                  </w:tcBorders>
                  <w:shd w:val="clear" w:color="auto" w:fill="4472C4" w:themeFill="accent1"/>
                  <w:hideMark/>
                </w:tcPr>
                <w:p w14:paraId="151F0C3A" w14:textId="77777777" w:rsidR="00E465E2" w:rsidRPr="009A4639" w:rsidRDefault="00E465E2">
                  <w:pPr>
                    <w:spacing w:after="0"/>
                    <w:jc w:val="right"/>
                    <w:rPr>
                      <w:rFonts w:ascii="Arial" w:eastAsia="Times New Roman" w:hAnsi="Arial" w:cs="Arial"/>
                      <w:color w:val="FFFFFF"/>
                      <w:sz w:val="18"/>
                      <w:szCs w:val="18"/>
                    </w:rPr>
                  </w:pPr>
                  <w:r w:rsidRPr="009A4639">
                    <w:rPr>
                      <w:rFonts w:ascii="Arial" w:eastAsia="Times New Roman" w:hAnsi="Arial" w:cs="Arial"/>
                      <w:color w:val="FFFFFF"/>
                      <w:sz w:val="18"/>
                      <w:szCs w:val="18"/>
                    </w:rPr>
                    <w:t>2020/21</w:t>
                  </w:r>
                </w:p>
              </w:tc>
              <w:tc>
                <w:tcPr>
                  <w:tcW w:w="1294" w:type="dxa"/>
                  <w:tcBorders>
                    <w:top w:val="nil"/>
                    <w:left w:val="nil"/>
                    <w:bottom w:val="single" w:sz="8" w:space="0" w:color="C0C0C0"/>
                    <w:right w:val="nil"/>
                  </w:tcBorders>
                  <w:shd w:val="clear" w:color="auto" w:fill="4472C4" w:themeFill="accent1"/>
                  <w:hideMark/>
                </w:tcPr>
                <w:p w14:paraId="6324D12E" w14:textId="77777777" w:rsidR="00E465E2" w:rsidRPr="009A4639" w:rsidRDefault="00E465E2">
                  <w:pPr>
                    <w:spacing w:after="0"/>
                    <w:jc w:val="right"/>
                    <w:rPr>
                      <w:rFonts w:ascii="Arial" w:eastAsia="Times New Roman" w:hAnsi="Arial" w:cs="Arial"/>
                      <w:color w:val="FFFFFF"/>
                      <w:sz w:val="18"/>
                      <w:szCs w:val="18"/>
                    </w:rPr>
                  </w:pPr>
                  <w:r w:rsidRPr="009A4639">
                    <w:rPr>
                      <w:rFonts w:ascii="Arial" w:eastAsia="Times New Roman" w:hAnsi="Arial" w:cs="Arial"/>
                      <w:color w:val="FFFFFF"/>
                      <w:sz w:val="18"/>
                      <w:szCs w:val="18"/>
                    </w:rPr>
                    <w:t>2021/22</w:t>
                  </w:r>
                </w:p>
              </w:tc>
              <w:tc>
                <w:tcPr>
                  <w:tcW w:w="1270" w:type="dxa"/>
                  <w:tcBorders>
                    <w:top w:val="nil"/>
                    <w:left w:val="nil"/>
                    <w:bottom w:val="single" w:sz="8" w:space="0" w:color="C0C0C0"/>
                    <w:right w:val="nil"/>
                  </w:tcBorders>
                  <w:shd w:val="clear" w:color="auto" w:fill="4472C4" w:themeFill="accent1"/>
                  <w:hideMark/>
                </w:tcPr>
                <w:p w14:paraId="1679AFD3" w14:textId="77777777" w:rsidR="00E465E2" w:rsidRPr="009A4639" w:rsidRDefault="00E465E2">
                  <w:pPr>
                    <w:spacing w:after="0"/>
                    <w:jc w:val="center"/>
                    <w:rPr>
                      <w:rFonts w:ascii="Arial" w:eastAsia="Times New Roman" w:hAnsi="Arial" w:cs="Arial"/>
                      <w:color w:val="FFFFFF"/>
                      <w:sz w:val="18"/>
                      <w:szCs w:val="18"/>
                    </w:rPr>
                  </w:pPr>
                  <w:r w:rsidRPr="009A4639">
                    <w:rPr>
                      <w:rFonts w:ascii="Arial" w:eastAsia="Times New Roman" w:hAnsi="Arial" w:cs="Arial"/>
                      <w:color w:val="FFFFFF"/>
                      <w:sz w:val="18"/>
                      <w:szCs w:val="18"/>
                    </w:rPr>
                    <w:t>2022/23</w:t>
                  </w:r>
                </w:p>
              </w:tc>
            </w:tr>
            <w:tr w:rsidR="00E465E2" w:rsidRPr="00FF3A03" w14:paraId="4F22579F" w14:textId="77777777">
              <w:trPr>
                <w:trHeight w:val="552"/>
              </w:trPr>
              <w:tc>
                <w:tcPr>
                  <w:tcW w:w="4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1BE3EB5A"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Support services as a % of total gross expenditure (</w:t>
                  </w:r>
                  <w:bookmarkStart w:id="0" w:name="_Int_EJIKjjhv"/>
                  <w:r w:rsidRPr="00716967">
                    <w:rPr>
                      <w:rFonts w:ascii="Arial" w:eastAsia="Times New Roman" w:hAnsi="Arial" w:cs="Arial"/>
                      <w:color w:val="1D2828"/>
                      <w:sz w:val="18"/>
                      <w:szCs w:val="18"/>
                    </w:rPr>
                    <w:t>LGBF</w:t>
                  </w:r>
                  <w:bookmarkEnd w:id="0"/>
                  <w:r w:rsidRPr="00716967">
                    <w:rPr>
                      <w:rFonts w:ascii="Arial" w:eastAsia="Times New Roman" w:hAnsi="Arial" w:cs="Arial"/>
                      <w:color w:val="1D2828"/>
                      <w:sz w:val="18"/>
                      <w:szCs w:val="18"/>
                    </w:rPr>
                    <w:t>)</w:t>
                  </w:r>
                </w:p>
              </w:tc>
              <w:tc>
                <w:tcPr>
                  <w:tcW w:w="116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14:paraId="11C898E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4.76%</w:t>
                  </w:r>
                </w:p>
              </w:tc>
              <w:tc>
                <w:tcPr>
                  <w:tcW w:w="110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14:paraId="579F0BD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5.69%</w:t>
                  </w:r>
                </w:p>
              </w:tc>
              <w:tc>
                <w:tcPr>
                  <w:tcW w:w="105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14:paraId="0B96383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4.51%</w:t>
                  </w:r>
                </w:p>
              </w:tc>
              <w:tc>
                <w:tcPr>
                  <w:tcW w:w="1294"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14:paraId="1CF721D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4.02%</w:t>
                  </w:r>
                </w:p>
              </w:tc>
              <w:tc>
                <w:tcPr>
                  <w:tcW w:w="1270" w:type="dxa"/>
                  <w:tcBorders>
                    <w:top w:val="single" w:sz="8" w:space="0" w:color="000000" w:themeColor="text1"/>
                    <w:left w:val="nil"/>
                    <w:bottom w:val="single" w:sz="8" w:space="0" w:color="000000" w:themeColor="text1"/>
                    <w:right w:val="single" w:sz="8" w:space="0" w:color="000000" w:themeColor="text1"/>
                  </w:tcBorders>
                  <w:shd w:val="clear" w:color="auto" w:fill="auto"/>
                  <w:hideMark/>
                </w:tcPr>
                <w:p w14:paraId="4FD9439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3.55%</w:t>
                  </w:r>
                </w:p>
                <w:p w14:paraId="5D02CA93"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28FBCA56"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73885004"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 of highest paid 5% employees who are women (LGBF)</w:t>
                  </w:r>
                </w:p>
              </w:tc>
              <w:tc>
                <w:tcPr>
                  <w:tcW w:w="1168" w:type="dxa"/>
                  <w:tcBorders>
                    <w:top w:val="nil"/>
                    <w:left w:val="nil"/>
                    <w:bottom w:val="single" w:sz="8" w:space="0" w:color="000000" w:themeColor="text1"/>
                    <w:right w:val="single" w:sz="8" w:space="0" w:color="000000" w:themeColor="text1"/>
                  </w:tcBorders>
                  <w:shd w:val="clear" w:color="auto" w:fill="auto"/>
                  <w:hideMark/>
                </w:tcPr>
                <w:p w14:paraId="4F72A0D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57.00%</w:t>
                  </w:r>
                </w:p>
              </w:tc>
              <w:tc>
                <w:tcPr>
                  <w:tcW w:w="1105" w:type="dxa"/>
                  <w:tcBorders>
                    <w:top w:val="nil"/>
                    <w:left w:val="nil"/>
                    <w:bottom w:val="single" w:sz="8" w:space="0" w:color="000000" w:themeColor="text1"/>
                    <w:right w:val="single" w:sz="8" w:space="0" w:color="000000" w:themeColor="text1"/>
                  </w:tcBorders>
                  <w:shd w:val="clear" w:color="auto" w:fill="auto"/>
                  <w:hideMark/>
                </w:tcPr>
                <w:p w14:paraId="7B903309" w14:textId="77777777" w:rsidR="00E465E2" w:rsidRPr="00716967" w:rsidRDefault="00E465E2">
                  <w:pPr>
                    <w:spacing w:after="0"/>
                    <w:jc w:val="right"/>
                    <w:rPr>
                      <w:rFonts w:ascii="Arial" w:eastAsia="Times New Roman" w:hAnsi="Arial" w:cs="Arial"/>
                      <w:sz w:val="18"/>
                      <w:szCs w:val="18"/>
                    </w:rPr>
                  </w:pPr>
                  <w:r w:rsidRPr="00716967">
                    <w:rPr>
                      <w:rFonts w:ascii="Arial" w:eastAsia="Times New Roman" w:hAnsi="Arial" w:cs="Arial"/>
                      <w:sz w:val="18"/>
                      <w:szCs w:val="18"/>
                    </w:rPr>
                    <w:t>57.60%</w:t>
                  </w:r>
                </w:p>
              </w:tc>
              <w:tc>
                <w:tcPr>
                  <w:tcW w:w="1058" w:type="dxa"/>
                  <w:tcBorders>
                    <w:top w:val="nil"/>
                    <w:left w:val="nil"/>
                    <w:bottom w:val="single" w:sz="8" w:space="0" w:color="000000" w:themeColor="text1"/>
                    <w:right w:val="single" w:sz="8" w:space="0" w:color="000000" w:themeColor="text1"/>
                  </w:tcBorders>
                  <w:shd w:val="clear" w:color="auto" w:fill="auto"/>
                  <w:hideMark/>
                </w:tcPr>
                <w:p w14:paraId="6602DA8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59.20%</w:t>
                  </w:r>
                </w:p>
              </w:tc>
              <w:tc>
                <w:tcPr>
                  <w:tcW w:w="1294" w:type="dxa"/>
                  <w:tcBorders>
                    <w:top w:val="nil"/>
                    <w:left w:val="nil"/>
                    <w:bottom w:val="single" w:sz="8" w:space="0" w:color="000000" w:themeColor="text1"/>
                    <w:right w:val="single" w:sz="8" w:space="0" w:color="000000" w:themeColor="text1"/>
                  </w:tcBorders>
                  <w:shd w:val="clear" w:color="auto" w:fill="auto"/>
                  <w:hideMark/>
                </w:tcPr>
                <w:p w14:paraId="16873DD9"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60.70%</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5D5C738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61.00%</w:t>
                  </w:r>
                </w:p>
                <w:p w14:paraId="3EC865F2" w14:textId="77777777" w:rsidR="00E465E2" w:rsidRPr="00716967" w:rsidRDefault="00E465E2">
                  <w:pPr>
                    <w:spacing w:after="0"/>
                    <w:rPr>
                      <w:rFonts w:ascii="Arial" w:eastAsia="Times New Roman" w:hAnsi="Arial" w:cs="Arial"/>
                      <w:color w:val="1D2828"/>
                      <w:sz w:val="18"/>
                      <w:szCs w:val="18"/>
                    </w:rPr>
                  </w:pPr>
                </w:p>
              </w:tc>
            </w:tr>
            <w:tr w:rsidR="00E465E2" w:rsidRPr="00FF3A03" w14:paraId="4D8AADBB" w14:textId="77777777">
              <w:trPr>
                <w:trHeight w:val="313"/>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5E8DFB6A"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The Gender Pay Gap (%) (LGBF)</w:t>
                  </w:r>
                </w:p>
              </w:tc>
              <w:tc>
                <w:tcPr>
                  <w:tcW w:w="1168" w:type="dxa"/>
                  <w:tcBorders>
                    <w:top w:val="nil"/>
                    <w:left w:val="nil"/>
                    <w:bottom w:val="single" w:sz="8" w:space="0" w:color="000000" w:themeColor="text1"/>
                    <w:right w:val="single" w:sz="8" w:space="0" w:color="000000" w:themeColor="text1"/>
                  </w:tcBorders>
                  <w:shd w:val="clear" w:color="auto" w:fill="FFFFFF" w:themeFill="background1"/>
                  <w:hideMark/>
                </w:tcPr>
                <w:p w14:paraId="07F2F7D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1.90%</w:t>
                  </w:r>
                </w:p>
              </w:tc>
              <w:tc>
                <w:tcPr>
                  <w:tcW w:w="1105" w:type="dxa"/>
                  <w:tcBorders>
                    <w:top w:val="nil"/>
                    <w:left w:val="nil"/>
                    <w:bottom w:val="single" w:sz="8" w:space="0" w:color="000000" w:themeColor="text1"/>
                    <w:right w:val="single" w:sz="8" w:space="0" w:color="000000" w:themeColor="text1"/>
                  </w:tcBorders>
                  <w:shd w:val="clear" w:color="auto" w:fill="FFFFFF" w:themeFill="background1"/>
                  <w:hideMark/>
                </w:tcPr>
                <w:p w14:paraId="0F1B9169"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-0.66%</w:t>
                  </w:r>
                </w:p>
              </w:tc>
              <w:tc>
                <w:tcPr>
                  <w:tcW w:w="1058" w:type="dxa"/>
                  <w:tcBorders>
                    <w:top w:val="nil"/>
                    <w:left w:val="nil"/>
                    <w:bottom w:val="single" w:sz="8" w:space="0" w:color="000000" w:themeColor="text1"/>
                    <w:right w:val="single" w:sz="8" w:space="0" w:color="000000" w:themeColor="text1"/>
                  </w:tcBorders>
                  <w:shd w:val="clear" w:color="auto" w:fill="FFFFFF" w:themeFill="background1"/>
                  <w:hideMark/>
                </w:tcPr>
                <w:p w14:paraId="2FA61E7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1.79%</w:t>
                  </w:r>
                </w:p>
              </w:tc>
              <w:tc>
                <w:tcPr>
                  <w:tcW w:w="1294" w:type="dxa"/>
                  <w:tcBorders>
                    <w:top w:val="nil"/>
                    <w:left w:val="nil"/>
                    <w:bottom w:val="single" w:sz="8" w:space="0" w:color="000000" w:themeColor="text1"/>
                    <w:right w:val="single" w:sz="8" w:space="0" w:color="000000" w:themeColor="text1"/>
                  </w:tcBorders>
                  <w:shd w:val="clear" w:color="auto" w:fill="FFFFFF" w:themeFill="background1"/>
                  <w:hideMark/>
                </w:tcPr>
                <w:p w14:paraId="12ECAE3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1.69%</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1CE3BFF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1.10%</w:t>
                  </w:r>
                </w:p>
                <w:p w14:paraId="6848D7C6"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60246357"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5C37C0DD"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 xml:space="preserve">Sickness Absence Days per Employee (excl. teachers) (LGBF) </w:t>
                  </w:r>
                </w:p>
              </w:tc>
              <w:tc>
                <w:tcPr>
                  <w:tcW w:w="1168" w:type="dxa"/>
                  <w:tcBorders>
                    <w:top w:val="nil"/>
                    <w:left w:val="nil"/>
                    <w:bottom w:val="single" w:sz="8" w:space="0" w:color="000000" w:themeColor="text1"/>
                    <w:right w:val="single" w:sz="8" w:space="0" w:color="000000" w:themeColor="text1"/>
                  </w:tcBorders>
                  <w:shd w:val="clear" w:color="auto" w:fill="FFFFFF" w:themeFill="background1"/>
                  <w:hideMark/>
                </w:tcPr>
                <w:p w14:paraId="61EEC7A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13.1</w:t>
                  </w:r>
                </w:p>
              </w:tc>
              <w:tc>
                <w:tcPr>
                  <w:tcW w:w="1105" w:type="dxa"/>
                  <w:tcBorders>
                    <w:top w:val="nil"/>
                    <w:left w:val="nil"/>
                    <w:bottom w:val="single" w:sz="8" w:space="0" w:color="000000" w:themeColor="text1"/>
                    <w:right w:val="single" w:sz="8" w:space="0" w:color="000000" w:themeColor="text1"/>
                  </w:tcBorders>
                  <w:shd w:val="clear" w:color="auto" w:fill="FFFFFF" w:themeFill="background1"/>
                  <w:hideMark/>
                </w:tcPr>
                <w:p w14:paraId="206D7A8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13.85</w:t>
                  </w:r>
                </w:p>
              </w:tc>
              <w:tc>
                <w:tcPr>
                  <w:tcW w:w="1058" w:type="dxa"/>
                  <w:tcBorders>
                    <w:top w:val="nil"/>
                    <w:left w:val="nil"/>
                    <w:bottom w:val="single" w:sz="8" w:space="0" w:color="000000" w:themeColor="text1"/>
                    <w:right w:val="single" w:sz="8" w:space="0" w:color="000000" w:themeColor="text1"/>
                  </w:tcBorders>
                  <w:shd w:val="clear" w:color="auto" w:fill="FFFFFF" w:themeFill="background1"/>
                  <w:hideMark/>
                </w:tcPr>
                <w:p w14:paraId="23025D5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11.83</w:t>
                  </w:r>
                </w:p>
              </w:tc>
              <w:tc>
                <w:tcPr>
                  <w:tcW w:w="1294" w:type="dxa"/>
                  <w:tcBorders>
                    <w:top w:val="nil"/>
                    <w:left w:val="nil"/>
                    <w:bottom w:val="single" w:sz="8" w:space="0" w:color="000000" w:themeColor="text1"/>
                    <w:right w:val="single" w:sz="8" w:space="0" w:color="000000" w:themeColor="text1"/>
                  </w:tcBorders>
                  <w:shd w:val="clear" w:color="auto" w:fill="FFFFFF" w:themeFill="background1"/>
                  <w:hideMark/>
                </w:tcPr>
                <w:p w14:paraId="2CC4AE3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15.29</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105BA63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15.8</w:t>
                  </w:r>
                </w:p>
                <w:p w14:paraId="27040444"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08294F0C"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6F03FB1C" w14:textId="51757759"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 of total spend that is spent locally (with businesses located in the Fife area) not with local SME’s (LGBF)</w:t>
                  </w:r>
                </w:p>
              </w:tc>
              <w:tc>
                <w:tcPr>
                  <w:tcW w:w="1168" w:type="dxa"/>
                  <w:tcBorders>
                    <w:top w:val="nil"/>
                    <w:left w:val="nil"/>
                    <w:bottom w:val="single" w:sz="8" w:space="0" w:color="000000" w:themeColor="text1"/>
                    <w:right w:val="single" w:sz="8" w:space="0" w:color="000000" w:themeColor="text1"/>
                  </w:tcBorders>
                  <w:shd w:val="clear" w:color="auto" w:fill="auto"/>
                  <w:hideMark/>
                </w:tcPr>
                <w:p w14:paraId="06C560B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35.50%</w:t>
                  </w:r>
                </w:p>
              </w:tc>
              <w:tc>
                <w:tcPr>
                  <w:tcW w:w="1105" w:type="dxa"/>
                  <w:tcBorders>
                    <w:top w:val="nil"/>
                    <w:left w:val="nil"/>
                    <w:bottom w:val="single" w:sz="8" w:space="0" w:color="000000" w:themeColor="text1"/>
                    <w:right w:val="single" w:sz="8" w:space="0" w:color="000000" w:themeColor="text1"/>
                  </w:tcBorders>
                  <w:shd w:val="clear" w:color="auto" w:fill="auto"/>
                  <w:hideMark/>
                </w:tcPr>
                <w:p w14:paraId="5D1B92D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31.90%</w:t>
                  </w:r>
                </w:p>
              </w:tc>
              <w:tc>
                <w:tcPr>
                  <w:tcW w:w="1058" w:type="dxa"/>
                  <w:tcBorders>
                    <w:top w:val="nil"/>
                    <w:left w:val="nil"/>
                    <w:bottom w:val="single" w:sz="8" w:space="0" w:color="000000" w:themeColor="text1"/>
                    <w:right w:val="single" w:sz="8" w:space="0" w:color="000000" w:themeColor="text1"/>
                  </w:tcBorders>
                  <w:shd w:val="clear" w:color="auto" w:fill="auto"/>
                  <w:hideMark/>
                </w:tcPr>
                <w:p w14:paraId="05DDE7F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37.20%</w:t>
                  </w:r>
                </w:p>
              </w:tc>
              <w:tc>
                <w:tcPr>
                  <w:tcW w:w="1294" w:type="dxa"/>
                  <w:tcBorders>
                    <w:top w:val="nil"/>
                    <w:left w:val="nil"/>
                    <w:bottom w:val="single" w:sz="8" w:space="0" w:color="000000" w:themeColor="text1"/>
                    <w:right w:val="single" w:sz="8" w:space="0" w:color="000000" w:themeColor="text1"/>
                  </w:tcBorders>
                  <w:shd w:val="clear" w:color="auto" w:fill="auto"/>
                  <w:hideMark/>
                </w:tcPr>
                <w:p w14:paraId="2D19246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40.20%</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38977C2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35.08%</w:t>
                  </w:r>
                </w:p>
                <w:p w14:paraId="2682EF76"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33A84CCB"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33CA3648"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Useable reserves as a % of annual budgeted revenue (LGBF)</w:t>
                  </w:r>
                </w:p>
              </w:tc>
              <w:tc>
                <w:tcPr>
                  <w:tcW w:w="1168" w:type="dxa"/>
                  <w:tcBorders>
                    <w:top w:val="nil"/>
                    <w:left w:val="nil"/>
                    <w:bottom w:val="single" w:sz="8" w:space="0" w:color="000000" w:themeColor="text1"/>
                    <w:right w:val="single" w:sz="8" w:space="0" w:color="000000" w:themeColor="text1"/>
                  </w:tcBorders>
                  <w:shd w:val="clear" w:color="auto" w:fill="auto"/>
                  <w:hideMark/>
                </w:tcPr>
                <w:p w14:paraId="6F91477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7.80%</w:t>
                  </w:r>
                </w:p>
              </w:tc>
              <w:tc>
                <w:tcPr>
                  <w:tcW w:w="1105" w:type="dxa"/>
                  <w:tcBorders>
                    <w:top w:val="nil"/>
                    <w:left w:val="nil"/>
                    <w:bottom w:val="single" w:sz="8" w:space="0" w:color="000000" w:themeColor="text1"/>
                    <w:right w:val="single" w:sz="8" w:space="0" w:color="000000" w:themeColor="text1"/>
                  </w:tcBorders>
                  <w:shd w:val="clear" w:color="auto" w:fill="auto"/>
                  <w:hideMark/>
                </w:tcPr>
                <w:p w14:paraId="336F7BD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8.40%</w:t>
                  </w:r>
                </w:p>
              </w:tc>
              <w:tc>
                <w:tcPr>
                  <w:tcW w:w="1058" w:type="dxa"/>
                  <w:tcBorders>
                    <w:top w:val="nil"/>
                    <w:left w:val="nil"/>
                    <w:bottom w:val="single" w:sz="8" w:space="0" w:color="000000" w:themeColor="text1"/>
                    <w:right w:val="single" w:sz="8" w:space="0" w:color="000000" w:themeColor="text1"/>
                  </w:tcBorders>
                  <w:shd w:val="clear" w:color="auto" w:fill="auto"/>
                  <w:hideMark/>
                </w:tcPr>
                <w:p w14:paraId="56EFD32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19.90%</w:t>
                  </w:r>
                </w:p>
              </w:tc>
              <w:tc>
                <w:tcPr>
                  <w:tcW w:w="1294" w:type="dxa"/>
                  <w:tcBorders>
                    <w:top w:val="nil"/>
                    <w:left w:val="nil"/>
                    <w:bottom w:val="single" w:sz="8" w:space="0" w:color="000000" w:themeColor="text1"/>
                    <w:right w:val="single" w:sz="8" w:space="0" w:color="000000" w:themeColor="text1"/>
                  </w:tcBorders>
                  <w:shd w:val="clear" w:color="auto" w:fill="auto"/>
                  <w:hideMark/>
                </w:tcPr>
                <w:p w14:paraId="49857C4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22.50%</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20FC9CB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24.80%</w:t>
                  </w:r>
                </w:p>
                <w:p w14:paraId="1614B674"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643F06BB"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5A96DA9E"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GF Balance as a % of annual budgeted net revenue (LGBF)</w:t>
                  </w:r>
                </w:p>
              </w:tc>
              <w:tc>
                <w:tcPr>
                  <w:tcW w:w="1168" w:type="dxa"/>
                  <w:tcBorders>
                    <w:top w:val="nil"/>
                    <w:left w:val="nil"/>
                    <w:bottom w:val="single" w:sz="8" w:space="0" w:color="000000" w:themeColor="text1"/>
                    <w:right w:val="single" w:sz="8" w:space="0" w:color="000000" w:themeColor="text1"/>
                  </w:tcBorders>
                  <w:shd w:val="clear" w:color="auto" w:fill="auto"/>
                  <w:hideMark/>
                </w:tcPr>
                <w:p w14:paraId="684DB53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1.80%</w:t>
                  </w:r>
                </w:p>
              </w:tc>
              <w:tc>
                <w:tcPr>
                  <w:tcW w:w="1105" w:type="dxa"/>
                  <w:tcBorders>
                    <w:top w:val="nil"/>
                    <w:left w:val="nil"/>
                    <w:bottom w:val="single" w:sz="8" w:space="0" w:color="000000" w:themeColor="text1"/>
                    <w:right w:val="single" w:sz="8" w:space="0" w:color="000000" w:themeColor="text1"/>
                  </w:tcBorders>
                  <w:shd w:val="clear" w:color="auto" w:fill="auto"/>
                  <w:hideMark/>
                </w:tcPr>
                <w:p w14:paraId="082CF1D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2.30%</w:t>
                  </w:r>
                </w:p>
              </w:tc>
              <w:tc>
                <w:tcPr>
                  <w:tcW w:w="1058" w:type="dxa"/>
                  <w:tcBorders>
                    <w:top w:val="nil"/>
                    <w:left w:val="nil"/>
                    <w:bottom w:val="single" w:sz="8" w:space="0" w:color="000000" w:themeColor="text1"/>
                    <w:right w:val="single" w:sz="8" w:space="0" w:color="000000" w:themeColor="text1"/>
                  </w:tcBorders>
                  <w:shd w:val="clear" w:color="auto" w:fill="auto"/>
                  <w:hideMark/>
                </w:tcPr>
                <w:p w14:paraId="3F45B0A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5.40%</w:t>
                  </w:r>
                </w:p>
              </w:tc>
              <w:tc>
                <w:tcPr>
                  <w:tcW w:w="1294" w:type="dxa"/>
                  <w:tcBorders>
                    <w:top w:val="nil"/>
                    <w:left w:val="nil"/>
                    <w:bottom w:val="single" w:sz="8" w:space="0" w:color="000000" w:themeColor="text1"/>
                    <w:right w:val="single" w:sz="8" w:space="0" w:color="000000" w:themeColor="text1"/>
                  </w:tcBorders>
                  <w:shd w:val="clear" w:color="auto" w:fill="auto"/>
                  <w:hideMark/>
                </w:tcPr>
                <w:p w14:paraId="6F9796D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3.30%</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2582A69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 xml:space="preserve">3.80% </w:t>
                  </w:r>
                </w:p>
                <w:p w14:paraId="203D219B"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05F7972B"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60F22273"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Financing Costs to Net Revenue Stream - GF (LGBF)</w:t>
                  </w:r>
                </w:p>
              </w:tc>
              <w:tc>
                <w:tcPr>
                  <w:tcW w:w="1168" w:type="dxa"/>
                  <w:tcBorders>
                    <w:top w:val="nil"/>
                    <w:left w:val="nil"/>
                    <w:bottom w:val="single" w:sz="8" w:space="0" w:color="000000" w:themeColor="text1"/>
                    <w:right w:val="single" w:sz="8" w:space="0" w:color="000000" w:themeColor="text1"/>
                  </w:tcBorders>
                  <w:shd w:val="clear" w:color="auto" w:fill="auto"/>
                  <w:hideMark/>
                </w:tcPr>
                <w:p w14:paraId="442092E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8.37%</w:t>
                  </w:r>
                </w:p>
              </w:tc>
              <w:tc>
                <w:tcPr>
                  <w:tcW w:w="1105" w:type="dxa"/>
                  <w:tcBorders>
                    <w:top w:val="nil"/>
                    <w:left w:val="nil"/>
                    <w:bottom w:val="single" w:sz="8" w:space="0" w:color="000000" w:themeColor="text1"/>
                    <w:right w:val="single" w:sz="8" w:space="0" w:color="000000" w:themeColor="text1"/>
                  </w:tcBorders>
                  <w:shd w:val="clear" w:color="auto" w:fill="auto"/>
                  <w:hideMark/>
                </w:tcPr>
                <w:p w14:paraId="30B0B529"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7.79%</w:t>
                  </w:r>
                </w:p>
              </w:tc>
              <w:tc>
                <w:tcPr>
                  <w:tcW w:w="1058" w:type="dxa"/>
                  <w:tcBorders>
                    <w:top w:val="nil"/>
                    <w:left w:val="nil"/>
                    <w:bottom w:val="single" w:sz="8" w:space="0" w:color="000000" w:themeColor="text1"/>
                    <w:right w:val="single" w:sz="8" w:space="0" w:color="000000" w:themeColor="text1"/>
                  </w:tcBorders>
                  <w:shd w:val="clear" w:color="auto" w:fill="auto"/>
                  <w:hideMark/>
                </w:tcPr>
                <w:p w14:paraId="0622A86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6.10%</w:t>
                  </w:r>
                </w:p>
              </w:tc>
              <w:tc>
                <w:tcPr>
                  <w:tcW w:w="1294" w:type="dxa"/>
                  <w:tcBorders>
                    <w:top w:val="nil"/>
                    <w:left w:val="nil"/>
                    <w:bottom w:val="single" w:sz="8" w:space="0" w:color="000000" w:themeColor="text1"/>
                    <w:right w:val="single" w:sz="8" w:space="0" w:color="000000" w:themeColor="text1"/>
                  </w:tcBorders>
                  <w:shd w:val="clear" w:color="auto" w:fill="auto"/>
                  <w:hideMark/>
                </w:tcPr>
                <w:p w14:paraId="7AA4693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6.39%</w:t>
                  </w:r>
                </w:p>
              </w:tc>
              <w:tc>
                <w:tcPr>
                  <w:tcW w:w="1270" w:type="dxa"/>
                  <w:tcBorders>
                    <w:top w:val="nil"/>
                    <w:left w:val="nil"/>
                    <w:bottom w:val="single" w:sz="8" w:space="0" w:color="000000" w:themeColor="text1"/>
                    <w:right w:val="single" w:sz="8" w:space="0" w:color="000000" w:themeColor="text1"/>
                  </w:tcBorders>
                  <w:shd w:val="clear" w:color="auto" w:fill="auto"/>
                  <w:hideMark/>
                </w:tcPr>
                <w:p w14:paraId="10643F7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1.27%</w:t>
                  </w:r>
                </w:p>
                <w:p w14:paraId="70E46B5C" w14:textId="77777777" w:rsidR="00E465E2" w:rsidRPr="00716967" w:rsidRDefault="00E465E2">
                  <w:pPr>
                    <w:spacing w:after="0"/>
                    <w:jc w:val="center"/>
                    <w:rPr>
                      <w:rFonts w:ascii="Arial" w:eastAsia="Times New Roman" w:hAnsi="Arial" w:cs="Arial"/>
                      <w:color w:val="1D2828"/>
                      <w:sz w:val="18"/>
                      <w:szCs w:val="18"/>
                    </w:rPr>
                  </w:pPr>
                </w:p>
              </w:tc>
            </w:tr>
            <w:tr w:rsidR="00E465E2" w:rsidRPr="00FF3A03" w14:paraId="14E5DB60"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hideMark/>
                </w:tcPr>
                <w:p w14:paraId="066F1215"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Financing Costs to Net Revenue Stream - HRA (LGBF)</w:t>
                  </w:r>
                </w:p>
              </w:tc>
              <w:tc>
                <w:tcPr>
                  <w:tcW w:w="1168" w:type="dxa"/>
                  <w:tcBorders>
                    <w:top w:val="nil"/>
                    <w:left w:val="nil"/>
                    <w:bottom w:val="single" w:sz="8" w:space="0" w:color="000000" w:themeColor="text1"/>
                    <w:right w:val="single" w:sz="8" w:space="0" w:color="000000" w:themeColor="text1"/>
                  </w:tcBorders>
                  <w:hideMark/>
                </w:tcPr>
                <w:p w14:paraId="6E1571B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20.23%</w:t>
                  </w:r>
                </w:p>
              </w:tc>
              <w:tc>
                <w:tcPr>
                  <w:tcW w:w="1105" w:type="dxa"/>
                  <w:tcBorders>
                    <w:top w:val="nil"/>
                    <w:left w:val="nil"/>
                    <w:bottom w:val="single" w:sz="8" w:space="0" w:color="000000" w:themeColor="text1"/>
                    <w:right w:val="single" w:sz="8" w:space="0" w:color="000000" w:themeColor="text1"/>
                  </w:tcBorders>
                  <w:hideMark/>
                </w:tcPr>
                <w:p w14:paraId="47B85B4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21.54%</w:t>
                  </w:r>
                </w:p>
              </w:tc>
              <w:tc>
                <w:tcPr>
                  <w:tcW w:w="1058" w:type="dxa"/>
                  <w:tcBorders>
                    <w:top w:val="nil"/>
                    <w:left w:val="nil"/>
                    <w:bottom w:val="single" w:sz="8" w:space="0" w:color="000000" w:themeColor="text1"/>
                    <w:right w:val="single" w:sz="8" w:space="0" w:color="000000" w:themeColor="text1"/>
                  </w:tcBorders>
                  <w:hideMark/>
                </w:tcPr>
                <w:p w14:paraId="0691F4D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22.00%</w:t>
                  </w:r>
                </w:p>
              </w:tc>
              <w:tc>
                <w:tcPr>
                  <w:tcW w:w="1294" w:type="dxa"/>
                  <w:tcBorders>
                    <w:top w:val="nil"/>
                    <w:left w:val="nil"/>
                    <w:bottom w:val="single" w:sz="8" w:space="0" w:color="000000" w:themeColor="text1"/>
                    <w:right w:val="single" w:sz="8" w:space="0" w:color="000000" w:themeColor="text1"/>
                  </w:tcBorders>
                  <w:hideMark/>
                </w:tcPr>
                <w:p w14:paraId="286A3A8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22.04%</w:t>
                  </w:r>
                </w:p>
              </w:tc>
              <w:tc>
                <w:tcPr>
                  <w:tcW w:w="1270" w:type="dxa"/>
                  <w:tcBorders>
                    <w:top w:val="nil"/>
                    <w:left w:val="nil"/>
                    <w:bottom w:val="single" w:sz="8" w:space="0" w:color="000000" w:themeColor="text1"/>
                    <w:right w:val="single" w:sz="8" w:space="0" w:color="000000" w:themeColor="text1"/>
                  </w:tcBorders>
                  <w:hideMark/>
                </w:tcPr>
                <w:p w14:paraId="0E548B9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23.77%</w:t>
                  </w:r>
                </w:p>
                <w:p w14:paraId="5C7BCFF5" w14:textId="77777777" w:rsidR="00E465E2" w:rsidRPr="00716967" w:rsidRDefault="00E465E2">
                  <w:pPr>
                    <w:spacing w:after="0"/>
                    <w:jc w:val="right"/>
                    <w:rPr>
                      <w:rFonts w:ascii="Arial" w:eastAsia="Times New Roman" w:hAnsi="Arial" w:cs="Arial"/>
                      <w:color w:val="1D2828"/>
                      <w:sz w:val="18"/>
                      <w:szCs w:val="18"/>
                    </w:rPr>
                  </w:pPr>
                </w:p>
              </w:tc>
            </w:tr>
            <w:tr w:rsidR="00E465E2" w:rsidRPr="00FF3A03" w14:paraId="1D14BA87" w14:textId="77777777">
              <w:trPr>
                <w:trHeight w:val="552"/>
              </w:trPr>
              <w:tc>
                <w:tcPr>
                  <w:tcW w:w="4043" w:type="dxa"/>
                  <w:tcBorders>
                    <w:top w:val="nil"/>
                    <w:left w:val="single" w:sz="8" w:space="0" w:color="000000" w:themeColor="text1"/>
                    <w:bottom w:val="single" w:sz="8" w:space="0" w:color="000000" w:themeColor="text1"/>
                    <w:right w:val="single" w:sz="8" w:space="0" w:color="000000" w:themeColor="text1"/>
                  </w:tcBorders>
                  <w:hideMark/>
                </w:tcPr>
                <w:p w14:paraId="511D9E88"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Actual outturn as a % of budgeted expenditure (LGBF)</w:t>
                  </w:r>
                </w:p>
              </w:tc>
              <w:tc>
                <w:tcPr>
                  <w:tcW w:w="1168" w:type="dxa"/>
                  <w:tcBorders>
                    <w:top w:val="nil"/>
                    <w:left w:val="nil"/>
                    <w:bottom w:val="single" w:sz="8" w:space="0" w:color="000000" w:themeColor="text1"/>
                    <w:right w:val="single" w:sz="8" w:space="0" w:color="000000" w:themeColor="text1"/>
                  </w:tcBorders>
                  <w:hideMark/>
                </w:tcPr>
                <w:p w14:paraId="7857AB2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100.29%</w:t>
                  </w:r>
                </w:p>
              </w:tc>
              <w:tc>
                <w:tcPr>
                  <w:tcW w:w="1105" w:type="dxa"/>
                  <w:tcBorders>
                    <w:top w:val="nil"/>
                    <w:left w:val="nil"/>
                    <w:bottom w:val="single" w:sz="8" w:space="0" w:color="000000" w:themeColor="text1"/>
                    <w:right w:val="single" w:sz="8" w:space="0" w:color="000000" w:themeColor="text1"/>
                  </w:tcBorders>
                  <w:hideMark/>
                </w:tcPr>
                <w:p w14:paraId="564D2E7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99.60%</w:t>
                  </w:r>
                </w:p>
              </w:tc>
              <w:tc>
                <w:tcPr>
                  <w:tcW w:w="1058" w:type="dxa"/>
                  <w:tcBorders>
                    <w:top w:val="nil"/>
                    <w:left w:val="nil"/>
                    <w:bottom w:val="single" w:sz="8" w:space="0" w:color="000000" w:themeColor="text1"/>
                    <w:right w:val="single" w:sz="8" w:space="0" w:color="000000" w:themeColor="text1"/>
                  </w:tcBorders>
                  <w:hideMark/>
                </w:tcPr>
                <w:p w14:paraId="69FD440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91.98%</w:t>
                  </w:r>
                </w:p>
              </w:tc>
              <w:tc>
                <w:tcPr>
                  <w:tcW w:w="1294" w:type="dxa"/>
                  <w:tcBorders>
                    <w:top w:val="nil"/>
                    <w:left w:val="nil"/>
                    <w:bottom w:val="single" w:sz="8" w:space="0" w:color="000000" w:themeColor="text1"/>
                    <w:right w:val="single" w:sz="8" w:space="0" w:color="000000" w:themeColor="text1"/>
                  </w:tcBorders>
                  <w:hideMark/>
                </w:tcPr>
                <w:p w14:paraId="3428B45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93.64%</w:t>
                  </w:r>
                </w:p>
              </w:tc>
              <w:tc>
                <w:tcPr>
                  <w:tcW w:w="1270" w:type="dxa"/>
                  <w:tcBorders>
                    <w:top w:val="nil"/>
                    <w:left w:val="nil"/>
                    <w:bottom w:val="single" w:sz="8" w:space="0" w:color="000000" w:themeColor="text1"/>
                    <w:right w:val="single" w:sz="8" w:space="0" w:color="000000" w:themeColor="text1"/>
                  </w:tcBorders>
                  <w:hideMark/>
                </w:tcPr>
                <w:p w14:paraId="189B2C9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92.00%</w:t>
                  </w:r>
                </w:p>
                <w:p w14:paraId="140BA063" w14:textId="77777777" w:rsidR="00E465E2" w:rsidRPr="00716967" w:rsidRDefault="00E465E2">
                  <w:pPr>
                    <w:spacing w:after="0"/>
                    <w:jc w:val="right"/>
                    <w:rPr>
                      <w:rFonts w:ascii="Arial" w:eastAsia="Times New Roman" w:hAnsi="Arial" w:cs="Arial"/>
                      <w:color w:val="1D2828"/>
                      <w:sz w:val="18"/>
                      <w:szCs w:val="18"/>
                    </w:rPr>
                  </w:pPr>
                </w:p>
              </w:tc>
            </w:tr>
          </w:tbl>
          <w:p w14:paraId="3F44883D" w14:textId="77777777" w:rsidR="00E465E2" w:rsidRDefault="00E465E2">
            <w:pPr>
              <w:rPr>
                <w:rFonts w:ascii="Arial" w:hAnsi="Arial" w:cs="Arial"/>
                <w:color w:val="2E74B5"/>
                <w:sz w:val="28"/>
                <w:szCs w:val="28"/>
              </w:rPr>
            </w:pPr>
          </w:p>
          <w:p w14:paraId="6DE363FE" w14:textId="77777777" w:rsidR="00716967" w:rsidRDefault="00716967">
            <w:pPr>
              <w:rPr>
                <w:rFonts w:ascii="Arial" w:hAnsi="Arial" w:cs="Arial"/>
                <w:color w:val="2E74B5"/>
                <w:sz w:val="28"/>
                <w:szCs w:val="28"/>
              </w:rPr>
            </w:pPr>
          </w:p>
          <w:p w14:paraId="156C67EA" w14:textId="77777777" w:rsidR="00716967" w:rsidRDefault="00716967">
            <w:pPr>
              <w:rPr>
                <w:rFonts w:ascii="Arial" w:hAnsi="Arial" w:cs="Arial"/>
                <w:color w:val="2E74B5"/>
                <w:sz w:val="28"/>
                <w:szCs w:val="28"/>
              </w:rPr>
            </w:pPr>
          </w:p>
          <w:p w14:paraId="432B52AB" w14:textId="77777777" w:rsidR="00E465E2" w:rsidRDefault="00E465E2">
            <w:pPr>
              <w:rPr>
                <w:rFonts w:ascii="Arial" w:hAnsi="Arial" w:cs="Arial"/>
                <w:szCs w:val="24"/>
              </w:rPr>
            </w:pPr>
            <w:r>
              <w:rPr>
                <w:rFonts w:ascii="Arial" w:hAnsi="Arial" w:cs="Arial"/>
                <w:szCs w:val="24"/>
                <w:u w:val="single"/>
              </w:rPr>
              <w:lastRenderedPageBreak/>
              <w:t>Support services as a percentage of total gross expenditure</w:t>
            </w:r>
          </w:p>
          <w:p w14:paraId="700F4109" w14:textId="698AAED1" w:rsidR="00E465E2" w:rsidRDefault="00E465E2">
            <w:pPr>
              <w:rPr>
                <w:rFonts w:ascii="Arial" w:hAnsi="Arial" w:cs="Arial"/>
                <w:highlight w:val="yellow"/>
              </w:rPr>
            </w:pPr>
            <w:r w:rsidRPr="78F894BB">
              <w:rPr>
                <w:rFonts w:ascii="Arial" w:hAnsi="Arial" w:cs="Arial"/>
              </w:rPr>
              <w:t xml:space="preserve">The Local Government pay award and investment in ICT has contributed to the expenditure on Support Services costs, although additional funding to partially cover the cost of the pay award was received from the Scottish Local Government to balance some of these costs. </w:t>
            </w:r>
            <w:r>
              <w:rPr>
                <w:rFonts w:ascii="Arial" w:hAnsi="Arial" w:cs="Arial"/>
              </w:rPr>
              <w:t>Support Services have taken action which has resulted in a significant reduction in our costs.</w:t>
            </w:r>
          </w:p>
          <w:p w14:paraId="143EEB16" w14:textId="77777777" w:rsidR="00E465E2" w:rsidRDefault="00E465E2">
            <w:pPr>
              <w:rPr>
                <w:rFonts w:ascii="Arial" w:hAnsi="Arial" w:cs="Arial"/>
                <w:szCs w:val="24"/>
              </w:rPr>
            </w:pPr>
          </w:p>
          <w:p w14:paraId="4CCD655C" w14:textId="77777777" w:rsidR="00E465E2" w:rsidRDefault="00E465E2">
            <w:pPr>
              <w:rPr>
                <w:rFonts w:ascii="Arial" w:hAnsi="Arial" w:cs="Arial"/>
                <w:szCs w:val="24"/>
                <w:u w:val="single"/>
              </w:rPr>
            </w:pPr>
            <w:r>
              <w:rPr>
                <w:rFonts w:ascii="Arial" w:hAnsi="Arial" w:cs="Arial"/>
                <w:szCs w:val="24"/>
                <w:u w:val="single"/>
              </w:rPr>
              <w:t>Highest-paid employees who are women</w:t>
            </w:r>
          </w:p>
          <w:p w14:paraId="7EB6675D" w14:textId="77777777" w:rsidR="00E465E2" w:rsidRDefault="00E465E2">
            <w:pPr>
              <w:rPr>
                <w:rFonts w:ascii="Arial" w:hAnsi="Arial" w:cs="Arial"/>
                <w:szCs w:val="24"/>
              </w:rPr>
            </w:pPr>
            <w:r>
              <w:rPr>
                <w:rFonts w:ascii="Arial" w:hAnsi="Arial" w:cs="Arial"/>
                <w:szCs w:val="24"/>
              </w:rPr>
              <w:t>We continue to see a rising number of women in the top 5% of earners and this is higher than the Scottish Local Authority average (58.9%). Through our work towards Equally Safe at Work accreditation, we have been focussing on gender equity in the workplace and have spotlighted female leadership within the Council.</w:t>
            </w:r>
          </w:p>
          <w:p w14:paraId="36A85F09" w14:textId="77777777" w:rsidR="00E465E2" w:rsidRDefault="00E465E2">
            <w:pPr>
              <w:rPr>
                <w:rFonts w:ascii="Arial" w:hAnsi="Arial" w:cs="Arial"/>
                <w:szCs w:val="24"/>
              </w:rPr>
            </w:pPr>
          </w:p>
          <w:p w14:paraId="7452A6AC" w14:textId="77777777" w:rsidR="00E465E2" w:rsidRDefault="00E465E2">
            <w:pPr>
              <w:rPr>
                <w:rFonts w:ascii="Arial" w:hAnsi="Arial" w:cs="Arial"/>
                <w:szCs w:val="24"/>
                <w:u w:val="single"/>
              </w:rPr>
            </w:pPr>
            <w:r>
              <w:rPr>
                <w:rFonts w:ascii="Arial" w:hAnsi="Arial" w:cs="Arial"/>
                <w:szCs w:val="24"/>
                <w:u w:val="single"/>
              </w:rPr>
              <w:t>Gender Pay Gap</w:t>
            </w:r>
          </w:p>
          <w:p w14:paraId="21D0FC7D" w14:textId="77777777" w:rsidR="00E465E2" w:rsidRDefault="00E465E2">
            <w:pPr>
              <w:rPr>
                <w:rFonts w:ascii="Arial" w:hAnsi="Arial" w:cs="Arial"/>
                <w:szCs w:val="24"/>
              </w:rPr>
            </w:pPr>
            <w:r>
              <w:rPr>
                <w:rFonts w:ascii="Arial" w:hAnsi="Arial" w:cs="Arial"/>
                <w:szCs w:val="24"/>
              </w:rPr>
              <w:t>The gender pay gap continues to be lower than the Scottish Local Authority average (2.5%), although we do still see areas of occupational segregation within areas of the workforce. We continue work to challenge traditional perceptions and stereotypes for example by using recruitment adverts showing male employees in early years settings.</w:t>
            </w:r>
          </w:p>
          <w:p w14:paraId="6972FF61" w14:textId="77777777" w:rsidR="00E465E2" w:rsidRDefault="00E465E2">
            <w:pPr>
              <w:rPr>
                <w:rFonts w:ascii="Arial" w:hAnsi="Arial" w:cs="Arial"/>
                <w:szCs w:val="24"/>
              </w:rPr>
            </w:pPr>
          </w:p>
          <w:p w14:paraId="7BBC2060" w14:textId="77777777" w:rsidR="00E465E2" w:rsidRDefault="00E465E2">
            <w:pPr>
              <w:rPr>
                <w:rFonts w:ascii="Arial" w:hAnsi="Arial" w:cs="Arial"/>
                <w:szCs w:val="24"/>
                <w:u w:val="single"/>
              </w:rPr>
            </w:pPr>
            <w:r>
              <w:rPr>
                <w:rFonts w:ascii="Arial" w:hAnsi="Arial" w:cs="Arial"/>
                <w:szCs w:val="24"/>
                <w:u w:val="single"/>
              </w:rPr>
              <w:t>Sickness Absence Days per Employee</w:t>
            </w:r>
          </w:p>
          <w:p w14:paraId="7B32F18A" w14:textId="77777777" w:rsidR="00E465E2" w:rsidRDefault="00E465E2">
            <w:pPr>
              <w:rPr>
                <w:rFonts w:ascii="Arial" w:hAnsi="Arial" w:cs="Arial"/>
                <w:szCs w:val="24"/>
              </w:rPr>
            </w:pPr>
            <w:r>
              <w:rPr>
                <w:rFonts w:ascii="Arial" w:hAnsi="Arial" w:cs="Arial"/>
                <w:szCs w:val="24"/>
              </w:rPr>
              <w:t>The long-term absence rates have increased.  The profile of sickness continues to show an increased number and duration of absences for conditions requiring hospital or medical treatment. </w:t>
            </w:r>
          </w:p>
          <w:p w14:paraId="6C694646" w14:textId="77777777" w:rsidR="00E465E2" w:rsidRDefault="00E465E2">
            <w:pPr>
              <w:rPr>
                <w:rFonts w:ascii="Arial" w:hAnsi="Arial" w:cs="Arial"/>
                <w:szCs w:val="24"/>
              </w:rPr>
            </w:pPr>
            <w:r>
              <w:rPr>
                <w:rFonts w:ascii="Arial" w:hAnsi="Arial" w:cs="Arial"/>
                <w:szCs w:val="24"/>
              </w:rPr>
              <w:t>It should be noted that the absence figures above are inclusive of Covid absences, whereas the 2022/23 SPI figures that will be published early in 2024 will show figures excluding Covid absences.</w:t>
            </w:r>
          </w:p>
          <w:p w14:paraId="1DB9D11C" w14:textId="77777777" w:rsidR="00E465E2" w:rsidRDefault="00E465E2">
            <w:pPr>
              <w:rPr>
                <w:rFonts w:ascii="Arial" w:hAnsi="Arial" w:cs="Arial"/>
                <w:szCs w:val="24"/>
              </w:rPr>
            </w:pPr>
            <w:r>
              <w:rPr>
                <w:rFonts w:ascii="Arial" w:hAnsi="Arial" w:cs="Arial"/>
                <w:szCs w:val="24"/>
              </w:rPr>
              <w:t xml:space="preserve">To sustain a long-term improvement in the levels of absence across the council Cabinet Committee agreed additional funding to establish an Attendance Support Unit in HR to strengthen and extend current support provision. The HR Manager (Attendance Support Unit) took up post in November and recruitment is ongoing to fill the other new positions, essential to increasing wellbeing and improving attendance management. </w:t>
            </w:r>
          </w:p>
          <w:p w14:paraId="7C97E560" w14:textId="77777777" w:rsidR="00E465E2" w:rsidRDefault="00E465E2">
            <w:pPr>
              <w:rPr>
                <w:rFonts w:ascii="Arial" w:hAnsi="Arial" w:cs="Arial"/>
                <w:szCs w:val="24"/>
              </w:rPr>
            </w:pPr>
            <w:r>
              <w:rPr>
                <w:rFonts w:ascii="Arial" w:hAnsi="Arial" w:cs="Arial"/>
                <w:szCs w:val="24"/>
              </w:rPr>
              <w:t>A programme of New Manager Attendance Management Induction is already underway, and many existing managers are using the opportunity to attend to check and refresh their knowledge. Additional training covering specific issues is in development, as is a generic induction video for all new employees.</w:t>
            </w:r>
          </w:p>
          <w:p w14:paraId="6A479BA5" w14:textId="77777777" w:rsidR="00E465E2" w:rsidRDefault="00E465E2">
            <w:pPr>
              <w:rPr>
                <w:rFonts w:ascii="Arial" w:hAnsi="Arial" w:cs="Arial"/>
                <w:szCs w:val="24"/>
              </w:rPr>
            </w:pPr>
          </w:p>
          <w:p w14:paraId="582AE7E0" w14:textId="77777777" w:rsidR="00E465E2" w:rsidRDefault="00E465E2">
            <w:pPr>
              <w:rPr>
                <w:rFonts w:ascii="Arial" w:hAnsi="Arial" w:cs="Arial"/>
                <w:szCs w:val="24"/>
                <w:u w:val="single"/>
              </w:rPr>
            </w:pPr>
            <w:r>
              <w:rPr>
                <w:rFonts w:ascii="Arial" w:hAnsi="Arial" w:cs="Arial"/>
                <w:szCs w:val="24"/>
                <w:u w:val="single"/>
              </w:rPr>
              <w:t>Procurement spent on local enterprises</w:t>
            </w:r>
          </w:p>
          <w:p w14:paraId="010E5B8A" w14:textId="5B1BA1A1" w:rsidR="00E465E2" w:rsidRPr="00505B50" w:rsidRDefault="00E465E2">
            <w:pPr>
              <w:rPr>
                <w:rFonts w:ascii="Arial" w:hAnsi="Arial" w:cs="Arial"/>
                <w:highlight w:val="yellow"/>
              </w:rPr>
            </w:pPr>
            <w:r w:rsidRPr="78F894BB">
              <w:rPr>
                <w:rFonts w:ascii="Arial" w:hAnsi="Arial" w:cs="Arial"/>
              </w:rPr>
              <w:t xml:space="preserve">There has been a reduction in local spend in 2022-23 due to some areas of significant increase in spend with non-Fife businesses. This is largely due to disproportionate inflationary increases in areas such as utilities as well as additional spend in capital projects with a non-Fife contractor. </w:t>
            </w:r>
            <w:r>
              <w:rPr>
                <w:rFonts w:ascii="Arial" w:hAnsi="Arial" w:cs="Arial"/>
              </w:rPr>
              <w:t xml:space="preserve">The Procurement Service continues to promote the awarding of suitable contracts to local business wherever this provides best value for the Council and </w:t>
            </w:r>
            <w:r w:rsidR="005428AB">
              <w:rPr>
                <w:rFonts w:ascii="Arial" w:hAnsi="Arial" w:cs="Arial"/>
              </w:rPr>
              <w:t xml:space="preserve">work closely with Economic Development via the Supplier Development Program to encourage local businesses to tender for Fife Council contracts. </w:t>
            </w:r>
          </w:p>
          <w:p w14:paraId="1EDA6479" w14:textId="77777777" w:rsidR="00E465E2" w:rsidRDefault="00E465E2">
            <w:pPr>
              <w:rPr>
                <w:rFonts w:ascii="Arial" w:hAnsi="Arial" w:cs="Arial"/>
                <w:szCs w:val="24"/>
                <w:u w:val="single"/>
              </w:rPr>
            </w:pPr>
          </w:p>
          <w:p w14:paraId="2F075991" w14:textId="77777777" w:rsidR="00C81032" w:rsidRDefault="00C81032">
            <w:pPr>
              <w:rPr>
                <w:rFonts w:ascii="Arial" w:hAnsi="Arial" w:cs="Arial"/>
                <w:szCs w:val="24"/>
                <w:u w:val="single"/>
              </w:rPr>
            </w:pPr>
          </w:p>
          <w:p w14:paraId="22EAA66F" w14:textId="27F9A3A3" w:rsidR="00E465E2" w:rsidRDefault="00E465E2">
            <w:pPr>
              <w:rPr>
                <w:rFonts w:ascii="Arial" w:hAnsi="Arial" w:cs="Arial"/>
                <w:szCs w:val="24"/>
              </w:rPr>
            </w:pPr>
            <w:r>
              <w:rPr>
                <w:rFonts w:ascii="Arial" w:hAnsi="Arial" w:cs="Arial"/>
                <w:szCs w:val="24"/>
                <w:u w:val="single"/>
              </w:rPr>
              <w:lastRenderedPageBreak/>
              <w:t>Useable reserves as a percentage of annual budgeted revenue</w:t>
            </w:r>
          </w:p>
          <w:p w14:paraId="1EFFBAA8" w14:textId="77777777" w:rsidR="00E465E2" w:rsidRDefault="00E465E2">
            <w:pPr>
              <w:rPr>
                <w:rFonts w:ascii="Arial" w:hAnsi="Arial" w:cs="Arial"/>
                <w:highlight w:val="yellow"/>
              </w:rPr>
            </w:pPr>
            <w:r w:rsidRPr="78F894BB">
              <w:rPr>
                <w:rFonts w:ascii="Arial" w:hAnsi="Arial" w:cs="Arial"/>
              </w:rPr>
              <w:t xml:space="preserve">Application of the revised accounting guidance in respect of Service Concession arrangements resulted in a significant underspend in Loan Charges budget which made a significant contribution to the balances position.  This accounts for the increase in the level of useable reserve as a </w:t>
            </w:r>
            <w:r>
              <w:rPr>
                <w:rFonts w:ascii="Arial" w:hAnsi="Arial" w:cs="Arial"/>
              </w:rPr>
              <w:t>percentage</w:t>
            </w:r>
            <w:r w:rsidRPr="78F894BB">
              <w:rPr>
                <w:rFonts w:ascii="Arial" w:hAnsi="Arial" w:cs="Arial"/>
              </w:rPr>
              <w:t xml:space="preserve"> of budgeted revenue. </w:t>
            </w:r>
            <w:r>
              <w:rPr>
                <w:rFonts w:ascii="Arial" w:hAnsi="Arial" w:cs="Arial"/>
              </w:rPr>
              <w:t xml:space="preserve">These will </w:t>
            </w:r>
            <w:r w:rsidRPr="00EE0200">
              <w:rPr>
                <w:rFonts w:ascii="Arial" w:hAnsi="Arial" w:cs="Arial"/>
              </w:rPr>
              <w:t>be used to fund additional capital expenditure and will reduce over time.</w:t>
            </w:r>
          </w:p>
          <w:p w14:paraId="53A879B3" w14:textId="77777777" w:rsidR="00E465E2" w:rsidRDefault="00E465E2">
            <w:pPr>
              <w:rPr>
                <w:rFonts w:ascii="Arial" w:hAnsi="Arial" w:cs="Arial"/>
                <w:szCs w:val="24"/>
              </w:rPr>
            </w:pPr>
          </w:p>
          <w:p w14:paraId="0151AA7D" w14:textId="77777777" w:rsidR="00E465E2" w:rsidRDefault="00E465E2">
            <w:pPr>
              <w:rPr>
                <w:rFonts w:ascii="Arial" w:hAnsi="Arial" w:cs="Arial"/>
                <w:szCs w:val="24"/>
                <w:u w:val="single"/>
              </w:rPr>
            </w:pPr>
            <w:r>
              <w:rPr>
                <w:rFonts w:ascii="Arial" w:hAnsi="Arial" w:cs="Arial"/>
                <w:szCs w:val="24"/>
                <w:u w:val="single"/>
              </w:rPr>
              <w:t>GF Balance as a percentage of annual budgeted revenue</w:t>
            </w:r>
          </w:p>
          <w:p w14:paraId="35062473" w14:textId="77777777" w:rsidR="00E465E2" w:rsidRDefault="00E465E2">
            <w:pPr>
              <w:rPr>
                <w:rFonts w:ascii="Arial" w:hAnsi="Arial" w:cs="Arial"/>
                <w:szCs w:val="24"/>
              </w:rPr>
            </w:pPr>
            <w:r>
              <w:rPr>
                <w:rFonts w:ascii="Arial" w:hAnsi="Arial" w:cs="Arial"/>
                <w:szCs w:val="24"/>
              </w:rPr>
              <w:t xml:space="preserve">Application of the revised accounting guidance in respect of Service Concession arrangements resulted in a significant underspend in Loan Charges budget which made a significant contribution to the general fund balances position.  This accounts for the percentage increase which has offset where balances have been used. </w:t>
            </w:r>
          </w:p>
          <w:p w14:paraId="47B11B9B" w14:textId="77777777" w:rsidR="00E465E2" w:rsidRDefault="00E465E2">
            <w:pPr>
              <w:rPr>
                <w:rFonts w:ascii="Arial" w:hAnsi="Arial" w:cs="Arial"/>
                <w:szCs w:val="24"/>
              </w:rPr>
            </w:pPr>
          </w:p>
          <w:p w14:paraId="707CE7C1" w14:textId="77777777" w:rsidR="00E465E2" w:rsidRDefault="00E465E2">
            <w:pPr>
              <w:rPr>
                <w:rFonts w:ascii="Arial" w:hAnsi="Arial" w:cs="Arial"/>
                <w:szCs w:val="24"/>
                <w:u w:val="single"/>
              </w:rPr>
            </w:pPr>
            <w:r>
              <w:rPr>
                <w:rFonts w:ascii="Arial" w:hAnsi="Arial" w:cs="Arial"/>
                <w:szCs w:val="24"/>
                <w:u w:val="single"/>
              </w:rPr>
              <w:t>Financing costs to net revenue stream – GF</w:t>
            </w:r>
          </w:p>
          <w:p w14:paraId="02D3C291" w14:textId="77777777" w:rsidR="00E465E2" w:rsidRDefault="00E465E2">
            <w:pPr>
              <w:rPr>
                <w:rFonts w:ascii="Arial" w:hAnsi="Arial" w:cs="Arial"/>
              </w:rPr>
            </w:pPr>
            <w:r w:rsidRPr="78F894BB">
              <w:rPr>
                <w:rFonts w:ascii="Arial" w:hAnsi="Arial" w:cs="Arial"/>
              </w:rPr>
              <w:t xml:space="preserve">Application of the revised accounting guidance in respect of Service Concession arrangements resulted in a reduction in </w:t>
            </w:r>
            <w:r>
              <w:rPr>
                <w:rFonts w:ascii="Arial" w:hAnsi="Arial" w:cs="Arial"/>
              </w:rPr>
              <w:t xml:space="preserve">the </w:t>
            </w:r>
            <w:r w:rsidRPr="78F894BB">
              <w:rPr>
                <w:rFonts w:ascii="Arial" w:hAnsi="Arial" w:cs="Arial"/>
              </w:rPr>
              <w:t>cost of borrowing for 2022-23 as the benefits generated were</w:t>
            </w:r>
            <w:r>
              <w:rPr>
                <w:rFonts w:ascii="Arial" w:hAnsi="Arial" w:cs="Arial"/>
              </w:rPr>
              <w:t xml:space="preserve"> </w:t>
            </w:r>
            <w:r w:rsidRPr="78F894BB">
              <w:rPr>
                <w:rFonts w:ascii="Arial" w:hAnsi="Arial" w:cs="Arial"/>
              </w:rPr>
              <w:t>realised in year.  As a result of this cost reduction, the</w:t>
            </w:r>
            <w:r>
              <w:rPr>
                <w:rFonts w:ascii="Arial" w:hAnsi="Arial" w:cs="Arial"/>
              </w:rPr>
              <w:t xml:space="preserve"> percentage</w:t>
            </w:r>
            <w:r w:rsidRPr="78F894BB">
              <w:rPr>
                <w:rFonts w:ascii="Arial" w:hAnsi="Arial" w:cs="Arial"/>
              </w:rPr>
              <w:t xml:space="preserve"> to net revenue stream has reduced significantly.  The </w:t>
            </w:r>
            <w:r>
              <w:rPr>
                <w:rFonts w:ascii="Arial" w:hAnsi="Arial" w:cs="Arial"/>
              </w:rPr>
              <w:t>percentage</w:t>
            </w:r>
            <w:r w:rsidRPr="78F894BB">
              <w:rPr>
                <w:rFonts w:ascii="Arial" w:hAnsi="Arial" w:cs="Arial"/>
              </w:rPr>
              <w:t xml:space="preserve"> is expected to increase again in future years reflecting the levels of borrowing required to finance the capital plan.   </w:t>
            </w:r>
          </w:p>
          <w:p w14:paraId="10DBD413" w14:textId="77777777" w:rsidR="00E465E2" w:rsidRDefault="00E465E2">
            <w:pPr>
              <w:rPr>
                <w:rFonts w:ascii="Arial" w:hAnsi="Arial" w:cs="Arial"/>
                <w:szCs w:val="24"/>
              </w:rPr>
            </w:pPr>
          </w:p>
          <w:p w14:paraId="5C639480" w14:textId="77777777" w:rsidR="00E465E2" w:rsidRDefault="00E465E2">
            <w:pPr>
              <w:rPr>
                <w:rFonts w:ascii="Arial" w:hAnsi="Arial" w:cs="Arial"/>
                <w:szCs w:val="24"/>
                <w:u w:val="single"/>
              </w:rPr>
            </w:pPr>
            <w:r>
              <w:rPr>
                <w:rFonts w:ascii="Arial" w:hAnsi="Arial" w:cs="Arial"/>
                <w:szCs w:val="24"/>
                <w:u w:val="single"/>
              </w:rPr>
              <w:t>Financing costs to net revenue stream – HRA</w:t>
            </w:r>
          </w:p>
          <w:p w14:paraId="7344DACC" w14:textId="77777777" w:rsidR="00E465E2" w:rsidRDefault="00E465E2">
            <w:pPr>
              <w:rPr>
                <w:rFonts w:ascii="Arial" w:hAnsi="Arial" w:cs="Arial"/>
                <w:szCs w:val="24"/>
              </w:rPr>
            </w:pPr>
            <w:r>
              <w:rPr>
                <w:rFonts w:ascii="Arial" w:hAnsi="Arial" w:cs="Arial"/>
                <w:szCs w:val="24"/>
              </w:rPr>
              <w:t>This financing costs to Net Revenue Stream (HRA) indicator has steadily increased reflecting increased capital expenditure on HRA and Affordable Housing, therefore there is an increased cost of covering the borrowing associated with these projects.  This remains fairly constant at 23.77% for 2022-23 and is in line with the agreed levels per the HRA Business Plan.</w:t>
            </w:r>
          </w:p>
          <w:p w14:paraId="338ABE52" w14:textId="77777777" w:rsidR="00E465E2" w:rsidRDefault="00E465E2">
            <w:pPr>
              <w:rPr>
                <w:rFonts w:ascii="Arial" w:hAnsi="Arial" w:cs="Arial"/>
                <w:szCs w:val="24"/>
                <w:u w:val="single"/>
              </w:rPr>
            </w:pPr>
          </w:p>
          <w:p w14:paraId="6CB40D27" w14:textId="77777777" w:rsidR="00E465E2" w:rsidRDefault="00E465E2">
            <w:pPr>
              <w:rPr>
                <w:rFonts w:ascii="Arial" w:eastAsia="Times New Roman" w:hAnsi="Arial" w:cs="Arial"/>
                <w:color w:val="1D2828"/>
                <w:sz w:val="28"/>
                <w:szCs w:val="28"/>
                <w:u w:val="single"/>
              </w:rPr>
            </w:pPr>
            <w:r>
              <w:rPr>
                <w:rFonts w:ascii="Arial" w:hAnsi="Arial" w:cs="Arial"/>
                <w:szCs w:val="24"/>
                <w:u w:val="single"/>
              </w:rPr>
              <w:t>Actual Outturn as a percentage of budgeted expenditure</w:t>
            </w:r>
          </w:p>
          <w:p w14:paraId="5269884E" w14:textId="77777777" w:rsidR="00E465E2" w:rsidRDefault="00E465E2">
            <w:pPr>
              <w:rPr>
                <w:rFonts w:ascii="Arial" w:hAnsi="Arial" w:cs="Arial"/>
                <w:szCs w:val="24"/>
              </w:rPr>
            </w:pPr>
            <w:r>
              <w:rPr>
                <w:rFonts w:ascii="Arial" w:hAnsi="Arial" w:cs="Arial"/>
                <w:szCs w:val="24"/>
              </w:rPr>
              <w:t>The actual outturn as a % of budgeted expenditure prior to 2021 was around 100% reflecting that Directorates more or less managed expenditure to their overall budgets.  In 2020-21 the percentage decreased to 91.98% which reflected the impact of the Pandemic.  In addition, a significant amount of government funding was received late in 2020-21 and had to be carried forward. The percentage of 92% reflects continued levels of one-off government funding that is held in committed balances plus a change in accounting treatment for some ring-fenced grants and Service Concession arrangements as noted above.</w:t>
            </w:r>
          </w:p>
          <w:p w14:paraId="359EEAFC" w14:textId="77777777" w:rsidR="00E465E2" w:rsidRDefault="00E465E2"/>
          <w:p w14:paraId="47807A47" w14:textId="77777777" w:rsidR="00942B84" w:rsidRDefault="00942B84" w:rsidP="00DA615A"/>
          <w:p w14:paraId="741EC0A8" w14:textId="77777777" w:rsidR="00942B84" w:rsidRDefault="00942B84" w:rsidP="00DA615A"/>
          <w:p w14:paraId="42532ADF" w14:textId="77777777" w:rsidR="00942B84" w:rsidRDefault="00942B84" w:rsidP="00DA615A"/>
          <w:p w14:paraId="0624C89C" w14:textId="77777777" w:rsidR="00942B84" w:rsidRDefault="00942B84" w:rsidP="00DA615A"/>
          <w:p w14:paraId="2CA98670" w14:textId="77777777" w:rsidR="00E465E2" w:rsidRPr="006C01C0" w:rsidRDefault="00E465E2"/>
          <w:p w14:paraId="7E9735B3" w14:textId="77777777" w:rsidR="00E465E2" w:rsidRDefault="00E465E2"/>
          <w:p w14:paraId="09F40B04" w14:textId="77777777" w:rsidR="00E465E2" w:rsidRDefault="00E465E2">
            <w:pPr>
              <w:rPr>
                <w:rFonts w:cs="Calibri"/>
                <w:color w:val="2E74B5"/>
                <w:szCs w:val="24"/>
              </w:rPr>
            </w:pPr>
          </w:p>
        </w:tc>
      </w:tr>
    </w:tbl>
    <w:p w14:paraId="1C981DA6" w14:textId="77777777" w:rsidR="00E465E2" w:rsidRDefault="00E465E2" w:rsidP="00E465E2">
      <w:pPr>
        <w:sectPr w:rsidR="00E465E2">
          <w:footerReference w:type="default" r:id="rId15"/>
          <w:pgSz w:w="11906" w:h="16838"/>
          <w:pgMar w:top="426" w:right="1440" w:bottom="1276" w:left="1440" w:header="708" w:footer="708" w:gutter="0"/>
          <w:cols w:space="708"/>
          <w:docGrid w:linePitch="360"/>
        </w:sectPr>
      </w:pPr>
    </w:p>
    <w:p w14:paraId="12B62FF7" w14:textId="77777777" w:rsidR="00E465E2" w:rsidRDefault="00E465E2" w:rsidP="00E465E2"/>
    <w:tbl>
      <w:tblPr>
        <w:tblW w:w="10331" w:type="dxa"/>
        <w:tblInd w:w="-71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0331"/>
      </w:tblGrid>
      <w:tr w:rsidR="00E465E2" w:rsidRPr="00BB7B76" w14:paraId="0E76F0FB" w14:textId="77777777" w:rsidTr="00942736">
        <w:trPr>
          <w:trHeight w:val="338"/>
        </w:trPr>
        <w:tc>
          <w:tcPr>
            <w:tcW w:w="10331" w:type="dxa"/>
            <w:shd w:val="clear" w:color="auto" w:fill="auto"/>
            <w:vAlign w:val="center"/>
          </w:tcPr>
          <w:p w14:paraId="725AD538" w14:textId="77777777" w:rsidR="00E465E2" w:rsidRDefault="00E465E2">
            <w:pPr>
              <w:rPr>
                <w:rFonts w:ascii="Arial" w:hAnsi="Arial" w:cs="Arial"/>
                <w:szCs w:val="24"/>
              </w:rPr>
            </w:pPr>
            <w:r>
              <w:rPr>
                <w:rFonts w:ascii="Arial" w:hAnsi="Arial" w:cs="Arial"/>
                <w:szCs w:val="24"/>
              </w:rPr>
              <w:t>A RAG has been added to the following sections of the Template: -</w:t>
            </w:r>
          </w:p>
          <w:tbl>
            <w:tblPr>
              <w:tblW w:w="0" w:type="auto"/>
              <w:tblLook w:val="04A0" w:firstRow="1" w:lastRow="0" w:firstColumn="1" w:lastColumn="0" w:noHBand="0" w:noVBand="1"/>
            </w:tblPr>
            <w:tblGrid>
              <w:gridCol w:w="1270"/>
              <w:gridCol w:w="2199"/>
              <w:gridCol w:w="990"/>
              <w:gridCol w:w="1905"/>
              <w:gridCol w:w="806"/>
              <w:gridCol w:w="2354"/>
            </w:tblGrid>
            <w:tr w:rsidR="00E465E2" w14:paraId="5F603F7D" w14:textId="77777777">
              <w:trPr>
                <w:trHeight w:val="435"/>
              </w:trPr>
              <w:tc>
                <w:tcPr>
                  <w:tcW w:w="9524" w:type="dxa"/>
                  <w:gridSpan w:val="6"/>
                  <w:tcBorders>
                    <w:top w:val="single" w:sz="8" w:space="0" w:color="auto"/>
                    <w:left w:val="single" w:sz="8" w:space="0" w:color="auto"/>
                    <w:bottom w:val="single" w:sz="8" w:space="0" w:color="auto"/>
                    <w:right w:val="single" w:sz="8" w:space="0" w:color="auto"/>
                  </w:tcBorders>
                  <w:shd w:val="clear" w:color="auto" w:fill="D0CECE"/>
                  <w:vAlign w:val="center"/>
                  <w:hideMark/>
                </w:tcPr>
                <w:p w14:paraId="21B2B1EB" w14:textId="77777777" w:rsidR="00E465E2" w:rsidRPr="00415261" w:rsidRDefault="00E465E2">
                  <w:pPr>
                    <w:spacing w:line="252" w:lineRule="auto"/>
                    <w:rPr>
                      <w:rFonts w:ascii="Arial" w:eastAsia="Arial" w:hAnsi="Arial" w:cs="Arial"/>
                      <w:b/>
                      <w:bCs/>
                      <w:color w:val="000000"/>
                      <w:sz w:val="16"/>
                      <w:szCs w:val="16"/>
                    </w:rPr>
                  </w:pPr>
                  <w:r w:rsidRPr="00415261">
                    <w:rPr>
                      <w:rFonts w:ascii="Arial" w:eastAsia="Arial" w:hAnsi="Arial" w:cs="Arial"/>
                      <w:b/>
                      <w:bCs/>
                      <w:color w:val="000000"/>
                      <w:sz w:val="16"/>
                      <w:szCs w:val="16"/>
                    </w:rPr>
                    <w:t xml:space="preserve">Key to Council Scorecard Results Tables </w:t>
                  </w:r>
                </w:p>
              </w:tc>
            </w:tr>
            <w:tr w:rsidR="00E465E2" w14:paraId="73CF9F5C" w14:textId="77777777">
              <w:trPr>
                <w:trHeight w:val="1140"/>
              </w:trPr>
              <w:tc>
                <w:tcPr>
                  <w:tcW w:w="1270"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A708451" w14:textId="77777777" w:rsidR="00E465E2" w:rsidRPr="00415261" w:rsidRDefault="00E465E2">
                  <w:pPr>
                    <w:spacing w:line="252" w:lineRule="auto"/>
                    <w:jc w:val="center"/>
                    <w:rPr>
                      <w:rFonts w:ascii="Arial" w:eastAsia="Arial" w:hAnsi="Arial" w:cs="Arial"/>
                      <w:color w:val="000000"/>
                      <w:sz w:val="16"/>
                      <w:szCs w:val="16"/>
                    </w:rPr>
                  </w:pPr>
                  <w:r w:rsidRPr="00415261">
                    <w:rPr>
                      <w:rFonts w:ascii="Arial" w:eastAsia="Arial" w:hAnsi="Arial" w:cs="Arial"/>
                      <w:color w:val="000000"/>
                      <w:sz w:val="16"/>
                      <w:szCs w:val="16"/>
                    </w:rPr>
                    <w:t xml:space="preserve"> Green (G)</w:t>
                  </w:r>
                </w:p>
              </w:tc>
              <w:tc>
                <w:tcPr>
                  <w:tcW w:w="2199" w:type="dxa"/>
                  <w:tcBorders>
                    <w:top w:val="nil"/>
                    <w:left w:val="single" w:sz="8" w:space="0" w:color="000000"/>
                    <w:bottom w:val="single" w:sz="8" w:space="0" w:color="000000"/>
                    <w:right w:val="single" w:sz="8" w:space="0" w:color="000000"/>
                  </w:tcBorders>
                  <w:vAlign w:val="center"/>
                  <w:hideMark/>
                </w:tcPr>
                <w:p w14:paraId="1990CC1A" w14:textId="77777777" w:rsidR="00E465E2" w:rsidRDefault="00E465E2">
                  <w:pPr>
                    <w:spacing w:line="252" w:lineRule="auto"/>
                    <w:rPr>
                      <w:rFonts w:ascii="Arial" w:eastAsia="Arial" w:hAnsi="Arial" w:cs="Arial"/>
                      <w:sz w:val="16"/>
                      <w:szCs w:val="16"/>
                    </w:rPr>
                  </w:pPr>
                  <w:r>
                    <w:rPr>
                      <w:rFonts w:ascii="Arial" w:eastAsia="Arial" w:hAnsi="Arial" w:cs="Arial"/>
                      <w:sz w:val="16"/>
                      <w:szCs w:val="16"/>
                    </w:rPr>
                    <w:t>Performance improved, or above target and no action required</w:t>
                  </w:r>
                </w:p>
              </w:tc>
              <w:tc>
                <w:tcPr>
                  <w:tcW w:w="990" w:type="dxa"/>
                  <w:tcBorders>
                    <w:top w:val="nil"/>
                    <w:left w:val="single" w:sz="8" w:space="0" w:color="000000"/>
                    <w:bottom w:val="single" w:sz="8" w:space="0" w:color="000000"/>
                    <w:right w:val="single" w:sz="8" w:space="0" w:color="auto"/>
                  </w:tcBorders>
                  <w:shd w:val="clear" w:color="auto" w:fill="FFC000"/>
                  <w:vAlign w:val="center"/>
                  <w:hideMark/>
                </w:tcPr>
                <w:p w14:paraId="62F2CF85" w14:textId="77777777" w:rsidR="00E465E2" w:rsidRPr="00415261" w:rsidRDefault="00E465E2">
                  <w:pPr>
                    <w:spacing w:line="252" w:lineRule="auto"/>
                    <w:jc w:val="center"/>
                    <w:rPr>
                      <w:rFonts w:ascii="Arial" w:eastAsia="Arial" w:hAnsi="Arial" w:cs="Arial"/>
                      <w:color w:val="000000"/>
                      <w:sz w:val="16"/>
                      <w:szCs w:val="16"/>
                    </w:rPr>
                  </w:pPr>
                  <w:r w:rsidRPr="00415261">
                    <w:rPr>
                      <w:rFonts w:ascii="Arial" w:eastAsia="Arial" w:hAnsi="Arial" w:cs="Arial"/>
                      <w:color w:val="000000"/>
                      <w:sz w:val="16"/>
                      <w:szCs w:val="16"/>
                    </w:rPr>
                    <w:t>Amber (A)</w:t>
                  </w:r>
                </w:p>
              </w:tc>
              <w:tc>
                <w:tcPr>
                  <w:tcW w:w="1905" w:type="dxa"/>
                  <w:tcBorders>
                    <w:top w:val="nil"/>
                    <w:left w:val="single" w:sz="8" w:space="0" w:color="auto"/>
                    <w:bottom w:val="single" w:sz="8" w:space="0" w:color="auto"/>
                    <w:right w:val="single" w:sz="8" w:space="0" w:color="auto"/>
                  </w:tcBorders>
                  <w:vAlign w:val="center"/>
                  <w:hideMark/>
                </w:tcPr>
                <w:p w14:paraId="18100580" w14:textId="77777777" w:rsidR="00E465E2" w:rsidRDefault="00E465E2">
                  <w:pPr>
                    <w:spacing w:line="252" w:lineRule="auto"/>
                    <w:rPr>
                      <w:rFonts w:ascii="Arial" w:eastAsia="Arial" w:hAnsi="Arial" w:cs="Arial"/>
                      <w:sz w:val="16"/>
                      <w:szCs w:val="16"/>
                    </w:rPr>
                  </w:pPr>
                  <w:r>
                    <w:rPr>
                      <w:rFonts w:ascii="Arial" w:eastAsia="Arial" w:hAnsi="Arial" w:cs="Arial"/>
                      <w:sz w:val="16"/>
                      <w:szCs w:val="16"/>
                    </w:rPr>
                    <w:t>Performance</w:t>
                  </w:r>
                  <w:r>
                    <w:rPr>
                      <w:rFonts w:ascii="Calibri" w:eastAsia="Calibri" w:hAnsi="Calibri" w:cs="Calibri"/>
                      <w:sz w:val="16"/>
                      <w:szCs w:val="16"/>
                    </w:rPr>
                    <w:t xml:space="preserve"> </w:t>
                  </w:r>
                  <w:r>
                    <w:rPr>
                      <w:rFonts w:ascii="Arial" w:eastAsia="Arial" w:hAnsi="Arial" w:cs="Arial"/>
                      <w:sz w:val="16"/>
                      <w:szCs w:val="16"/>
                    </w:rPr>
                    <w:t xml:space="preserve">static, slightly below target and action in place </w:t>
                  </w:r>
                </w:p>
              </w:tc>
              <w:tc>
                <w:tcPr>
                  <w:tcW w:w="806" w:type="dxa"/>
                  <w:tcBorders>
                    <w:top w:val="nil"/>
                    <w:left w:val="single" w:sz="8" w:space="0" w:color="auto"/>
                    <w:bottom w:val="single" w:sz="8" w:space="0" w:color="auto"/>
                    <w:right w:val="single" w:sz="8" w:space="0" w:color="auto"/>
                  </w:tcBorders>
                  <w:shd w:val="clear" w:color="auto" w:fill="FF0000"/>
                  <w:vAlign w:val="center"/>
                  <w:hideMark/>
                </w:tcPr>
                <w:p w14:paraId="39AFAD5B" w14:textId="77777777" w:rsidR="00E465E2" w:rsidRPr="00415261" w:rsidRDefault="00E465E2">
                  <w:pPr>
                    <w:spacing w:line="252" w:lineRule="auto"/>
                    <w:jc w:val="center"/>
                    <w:rPr>
                      <w:rFonts w:ascii="Arial" w:eastAsia="Arial" w:hAnsi="Arial" w:cs="Arial"/>
                      <w:color w:val="000000"/>
                      <w:sz w:val="16"/>
                      <w:szCs w:val="16"/>
                    </w:rPr>
                  </w:pPr>
                  <w:r w:rsidRPr="00415261">
                    <w:rPr>
                      <w:rFonts w:ascii="Arial" w:eastAsia="Arial" w:hAnsi="Arial" w:cs="Arial"/>
                      <w:color w:val="000000"/>
                      <w:sz w:val="16"/>
                      <w:szCs w:val="16"/>
                    </w:rPr>
                    <w:t>Red (R)</w:t>
                  </w:r>
                </w:p>
              </w:tc>
              <w:tc>
                <w:tcPr>
                  <w:tcW w:w="2354" w:type="dxa"/>
                  <w:tcBorders>
                    <w:top w:val="nil"/>
                    <w:left w:val="single" w:sz="8" w:space="0" w:color="auto"/>
                    <w:bottom w:val="single" w:sz="8" w:space="0" w:color="auto"/>
                    <w:right w:val="single" w:sz="8" w:space="0" w:color="auto"/>
                  </w:tcBorders>
                  <w:vAlign w:val="center"/>
                  <w:hideMark/>
                </w:tcPr>
                <w:p w14:paraId="239A5C32" w14:textId="77777777" w:rsidR="00E465E2" w:rsidRDefault="00E465E2">
                  <w:pPr>
                    <w:spacing w:after="240" w:line="252" w:lineRule="auto"/>
                    <w:rPr>
                      <w:rFonts w:ascii="Arial" w:eastAsia="Arial" w:hAnsi="Arial" w:cs="Arial"/>
                      <w:sz w:val="16"/>
                      <w:szCs w:val="16"/>
                    </w:rPr>
                  </w:pPr>
                  <w:r>
                    <w:rPr>
                      <w:rFonts w:ascii="Arial" w:eastAsia="Arial" w:hAnsi="Arial" w:cs="Arial"/>
                      <w:sz w:val="16"/>
                      <w:szCs w:val="16"/>
                    </w:rPr>
                    <w:t>Performance significantly worse, and requires immediate action</w:t>
                  </w:r>
                </w:p>
              </w:tc>
            </w:tr>
            <w:tr w:rsidR="00E465E2" w14:paraId="5A2D1862" w14:textId="77777777">
              <w:trPr>
                <w:trHeight w:val="795"/>
              </w:trPr>
              <w:tc>
                <w:tcPr>
                  <w:tcW w:w="1270" w:type="dxa"/>
                  <w:tcBorders>
                    <w:top w:val="single" w:sz="8" w:space="0" w:color="000000"/>
                    <w:left w:val="single" w:sz="8" w:space="0" w:color="000000"/>
                    <w:bottom w:val="single" w:sz="8" w:space="0" w:color="000000"/>
                    <w:right w:val="single" w:sz="8" w:space="0" w:color="000000"/>
                  </w:tcBorders>
                  <w:vAlign w:val="center"/>
                  <w:hideMark/>
                </w:tcPr>
                <w:p w14:paraId="7F218B46" w14:textId="77777777" w:rsidR="00E465E2" w:rsidRDefault="00E465E2">
                  <w:pPr>
                    <w:spacing w:line="252" w:lineRule="auto"/>
                    <w:jc w:val="center"/>
                    <w:rPr>
                      <w:rFonts w:ascii="Arial" w:eastAsia="Arial" w:hAnsi="Arial" w:cs="Arial"/>
                      <w:sz w:val="16"/>
                      <w:szCs w:val="16"/>
                    </w:rPr>
                  </w:pPr>
                  <w:r>
                    <w:rPr>
                      <w:rFonts w:ascii="Arial" w:eastAsia="Arial" w:hAnsi="Arial" w:cs="Arial"/>
                      <w:b/>
                      <w:bCs/>
                      <w:sz w:val="16"/>
                      <w:szCs w:val="16"/>
                    </w:rPr>
                    <w:t>N/A</w:t>
                  </w:r>
                  <w:r>
                    <w:rPr>
                      <w:rFonts w:ascii="Arial" w:eastAsia="Arial" w:hAnsi="Arial" w:cs="Arial"/>
                      <w:sz w:val="16"/>
                      <w:szCs w:val="16"/>
                    </w:rPr>
                    <w:t xml:space="preserve"> </w:t>
                  </w:r>
                </w:p>
              </w:tc>
              <w:tc>
                <w:tcPr>
                  <w:tcW w:w="2199" w:type="dxa"/>
                  <w:tcBorders>
                    <w:top w:val="single" w:sz="8" w:space="0" w:color="000000"/>
                    <w:left w:val="single" w:sz="8" w:space="0" w:color="000000"/>
                    <w:bottom w:val="single" w:sz="8" w:space="0" w:color="000000"/>
                    <w:right w:val="single" w:sz="8" w:space="0" w:color="000000"/>
                  </w:tcBorders>
                  <w:vAlign w:val="center"/>
                  <w:hideMark/>
                </w:tcPr>
                <w:p w14:paraId="44E8EA33" w14:textId="77777777" w:rsidR="00E465E2" w:rsidRDefault="00E465E2">
                  <w:pPr>
                    <w:spacing w:line="252" w:lineRule="auto"/>
                    <w:rPr>
                      <w:rFonts w:ascii="Arial" w:eastAsia="Arial" w:hAnsi="Arial" w:cs="Arial"/>
                      <w:sz w:val="16"/>
                      <w:szCs w:val="16"/>
                    </w:rPr>
                  </w:pPr>
                  <w:r>
                    <w:rPr>
                      <w:rFonts w:ascii="Arial" w:eastAsia="Arial" w:hAnsi="Arial" w:cs="Arial"/>
                      <w:sz w:val="16"/>
                      <w:szCs w:val="16"/>
                    </w:rPr>
                    <w:t xml:space="preserve">Not Available to report </w:t>
                  </w:r>
                </w:p>
              </w:tc>
              <w:tc>
                <w:tcPr>
                  <w:tcW w:w="990" w:type="dxa"/>
                  <w:tcBorders>
                    <w:top w:val="single" w:sz="8" w:space="0" w:color="000000"/>
                    <w:left w:val="single" w:sz="8" w:space="0" w:color="000000"/>
                    <w:bottom w:val="single" w:sz="8" w:space="0" w:color="000000"/>
                    <w:right w:val="single" w:sz="8" w:space="0" w:color="auto"/>
                  </w:tcBorders>
                  <w:vAlign w:val="center"/>
                  <w:hideMark/>
                </w:tcPr>
                <w:p w14:paraId="366D846A" w14:textId="77777777" w:rsidR="00E465E2" w:rsidRDefault="00E465E2">
                  <w:pPr>
                    <w:spacing w:line="252" w:lineRule="auto"/>
                    <w:jc w:val="center"/>
                    <w:rPr>
                      <w:rFonts w:ascii="Arial" w:eastAsia="Arial" w:hAnsi="Arial" w:cs="Arial"/>
                      <w:b/>
                      <w:bCs/>
                      <w:sz w:val="16"/>
                      <w:szCs w:val="16"/>
                    </w:rPr>
                  </w:pPr>
                  <w:r>
                    <w:rPr>
                      <w:rFonts w:ascii="Arial" w:eastAsia="Arial" w:hAnsi="Arial" w:cs="Arial"/>
                      <w:b/>
                      <w:bCs/>
                      <w:sz w:val="16"/>
                      <w:szCs w:val="16"/>
                    </w:rPr>
                    <w:t>DIV/0</w:t>
                  </w:r>
                </w:p>
              </w:tc>
              <w:tc>
                <w:tcPr>
                  <w:tcW w:w="1905" w:type="dxa"/>
                  <w:tcBorders>
                    <w:top w:val="single" w:sz="8" w:space="0" w:color="auto"/>
                    <w:left w:val="single" w:sz="8" w:space="0" w:color="auto"/>
                    <w:bottom w:val="single" w:sz="8" w:space="0" w:color="auto"/>
                    <w:right w:val="single" w:sz="8" w:space="0" w:color="auto"/>
                  </w:tcBorders>
                  <w:vAlign w:val="center"/>
                  <w:hideMark/>
                </w:tcPr>
                <w:p w14:paraId="227DA0D7" w14:textId="77777777" w:rsidR="00E465E2" w:rsidRDefault="00E465E2">
                  <w:pPr>
                    <w:spacing w:line="252" w:lineRule="auto"/>
                    <w:rPr>
                      <w:rFonts w:ascii="Arial" w:eastAsia="Arial" w:hAnsi="Arial" w:cs="Arial"/>
                      <w:sz w:val="16"/>
                      <w:szCs w:val="16"/>
                    </w:rPr>
                  </w:pPr>
                  <w:r>
                    <w:rPr>
                      <w:rFonts w:ascii="Arial" w:eastAsia="Arial" w:hAnsi="Arial" w:cs="Arial"/>
                      <w:sz w:val="16"/>
                      <w:szCs w:val="16"/>
                    </w:rPr>
                    <w:t>Zero response</w:t>
                  </w:r>
                </w:p>
              </w:tc>
              <w:tc>
                <w:tcPr>
                  <w:tcW w:w="3160" w:type="dxa"/>
                  <w:gridSpan w:val="2"/>
                  <w:tcBorders>
                    <w:top w:val="single" w:sz="8" w:space="0" w:color="auto"/>
                    <w:left w:val="single" w:sz="8" w:space="0" w:color="auto"/>
                    <w:bottom w:val="single" w:sz="8" w:space="0" w:color="auto"/>
                    <w:right w:val="single" w:sz="8" w:space="0" w:color="auto"/>
                  </w:tcBorders>
                  <w:vAlign w:val="center"/>
                </w:tcPr>
                <w:p w14:paraId="489012C6" w14:textId="77777777" w:rsidR="00E465E2" w:rsidRDefault="00E465E2">
                  <w:pPr>
                    <w:rPr>
                      <w:sz w:val="16"/>
                      <w:szCs w:val="16"/>
                    </w:rPr>
                  </w:pPr>
                </w:p>
              </w:tc>
            </w:tr>
          </w:tbl>
          <w:p w14:paraId="0F0D5B5E" w14:textId="77777777" w:rsidR="00E465E2" w:rsidRDefault="00E465E2">
            <w:pPr>
              <w:jc w:val="both"/>
              <w:rPr>
                <w:rFonts w:cs="Calibri"/>
                <w:b/>
                <w:color w:val="FFFFFF"/>
                <w:sz w:val="28"/>
                <w:szCs w:val="28"/>
              </w:rPr>
            </w:pPr>
          </w:p>
        </w:tc>
      </w:tr>
    </w:tbl>
    <w:p w14:paraId="040779C5" w14:textId="77777777" w:rsidR="00E465E2" w:rsidRDefault="00E465E2" w:rsidP="00E465E2"/>
    <w:tbl>
      <w:tblPr>
        <w:tblW w:w="10348" w:type="dxa"/>
        <w:tblInd w:w="-71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0331"/>
        <w:gridCol w:w="17"/>
      </w:tblGrid>
      <w:tr w:rsidR="00E465E2" w:rsidRPr="00BB7B76" w14:paraId="337E48A0" w14:textId="77777777" w:rsidTr="00942B84">
        <w:trPr>
          <w:gridAfter w:val="1"/>
          <w:wAfter w:w="17" w:type="dxa"/>
          <w:trHeight w:val="338"/>
        </w:trPr>
        <w:tc>
          <w:tcPr>
            <w:tcW w:w="10331" w:type="dxa"/>
            <w:shd w:val="clear" w:color="auto" w:fill="4472C4" w:themeFill="accent1"/>
            <w:vAlign w:val="center"/>
          </w:tcPr>
          <w:p w14:paraId="2DD730F7" w14:textId="77777777" w:rsidR="00E465E2" w:rsidRDefault="00E465E2">
            <w:pPr>
              <w:jc w:val="center"/>
              <w:rPr>
                <w:rFonts w:cs="Calibri"/>
                <w:b/>
                <w:color w:val="FFFFFF"/>
                <w:sz w:val="28"/>
                <w:szCs w:val="28"/>
              </w:rPr>
            </w:pPr>
            <w:r>
              <w:rPr>
                <w:rFonts w:cs="Calibri"/>
                <w:b/>
                <w:color w:val="FFFFFF"/>
                <w:sz w:val="28"/>
                <w:szCs w:val="28"/>
              </w:rPr>
              <w:t>CUSTOMER</w:t>
            </w:r>
          </w:p>
        </w:tc>
      </w:tr>
      <w:tr w:rsidR="00E465E2" w:rsidRPr="00BB7B76" w14:paraId="525EE509" w14:textId="77777777" w:rsidTr="00942B84">
        <w:trPr>
          <w:gridAfter w:val="1"/>
          <w:wAfter w:w="17" w:type="dxa"/>
          <w:trHeight w:val="2534"/>
        </w:trPr>
        <w:tc>
          <w:tcPr>
            <w:tcW w:w="10331" w:type="dxa"/>
            <w:shd w:val="clear" w:color="auto" w:fill="auto"/>
          </w:tcPr>
          <w:p w14:paraId="0EB4F440" w14:textId="77777777" w:rsidR="00E465E2" w:rsidRDefault="00E465E2">
            <w:pPr>
              <w:rPr>
                <w:color w:val="4472C4"/>
                <w:szCs w:val="24"/>
              </w:rPr>
            </w:pPr>
          </w:p>
          <w:tbl>
            <w:tblPr>
              <w:tblW w:w="10095" w:type="dxa"/>
              <w:tblCellMar>
                <w:top w:w="15" w:type="dxa"/>
                <w:bottom w:w="15" w:type="dxa"/>
              </w:tblCellMar>
              <w:tblLook w:val="04A0" w:firstRow="1" w:lastRow="0" w:firstColumn="1" w:lastColumn="0" w:noHBand="0" w:noVBand="1"/>
            </w:tblPr>
            <w:tblGrid>
              <w:gridCol w:w="3408"/>
              <w:gridCol w:w="992"/>
              <w:gridCol w:w="1132"/>
              <w:gridCol w:w="867"/>
              <w:gridCol w:w="1002"/>
              <w:gridCol w:w="1273"/>
              <w:gridCol w:w="1421"/>
            </w:tblGrid>
            <w:tr w:rsidR="00E465E2" w:rsidRPr="00474116" w14:paraId="0F27BF0E" w14:textId="77777777">
              <w:trPr>
                <w:trHeight w:val="332"/>
              </w:trPr>
              <w:tc>
                <w:tcPr>
                  <w:tcW w:w="3425" w:type="dxa"/>
                  <w:tcBorders>
                    <w:top w:val="single" w:sz="8" w:space="0" w:color="000000"/>
                    <w:left w:val="single" w:sz="8" w:space="0" w:color="000000"/>
                    <w:bottom w:val="nil"/>
                    <w:right w:val="single" w:sz="8" w:space="0" w:color="000000"/>
                  </w:tcBorders>
                  <w:shd w:val="clear" w:color="auto" w:fill="4472C4"/>
                  <w:vAlign w:val="center"/>
                  <w:hideMark/>
                </w:tcPr>
                <w:p w14:paraId="4F0AF1B9" w14:textId="77777777" w:rsidR="00E465E2" w:rsidRPr="00474116" w:rsidRDefault="00E465E2">
                  <w:pPr>
                    <w:spacing w:after="0"/>
                    <w:rPr>
                      <w:rFonts w:ascii="Arial" w:eastAsia="Times New Roman" w:hAnsi="Arial" w:cs="Arial"/>
                      <w:b/>
                      <w:bCs/>
                      <w:color w:val="FFFFFF"/>
                      <w:sz w:val="18"/>
                      <w:szCs w:val="18"/>
                    </w:rPr>
                  </w:pPr>
                  <w:r>
                    <w:rPr>
                      <w:rFonts w:ascii="Arial" w:eastAsia="Times New Roman" w:hAnsi="Arial" w:cs="Arial"/>
                      <w:b/>
                      <w:bCs/>
                      <w:color w:val="FFFFFF"/>
                      <w:sz w:val="18"/>
                      <w:szCs w:val="18"/>
                    </w:rPr>
                    <w:t>PI Short Name</w:t>
                  </w:r>
                </w:p>
              </w:tc>
              <w:tc>
                <w:tcPr>
                  <w:tcW w:w="993" w:type="dxa"/>
                  <w:tcBorders>
                    <w:top w:val="single" w:sz="8" w:space="0" w:color="000000"/>
                    <w:left w:val="nil"/>
                    <w:bottom w:val="single" w:sz="8" w:space="0" w:color="000000"/>
                    <w:right w:val="single" w:sz="8" w:space="0" w:color="000000"/>
                  </w:tcBorders>
                  <w:shd w:val="clear" w:color="auto" w:fill="4472C4"/>
                  <w:vAlign w:val="center"/>
                  <w:hideMark/>
                </w:tcPr>
                <w:p w14:paraId="71E82211" w14:textId="77777777" w:rsidR="00E465E2" w:rsidRPr="00474116" w:rsidRDefault="00E465E2">
                  <w:pPr>
                    <w:spacing w:after="0"/>
                    <w:jc w:val="right"/>
                    <w:rPr>
                      <w:rFonts w:ascii="Arial" w:eastAsia="Times New Roman" w:hAnsi="Arial" w:cs="Arial"/>
                      <w:b/>
                      <w:bCs/>
                      <w:color w:val="FFFFFF"/>
                      <w:sz w:val="18"/>
                      <w:szCs w:val="18"/>
                    </w:rPr>
                  </w:pPr>
                  <w:r w:rsidRPr="00474116">
                    <w:rPr>
                      <w:rFonts w:ascii="Arial" w:eastAsia="Times New Roman" w:hAnsi="Arial" w:cs="Arial"/>
                      <w:b/>
                      <w:bCs/>
                      <w:color w:val="FFFFFF"/>
                      <w:sz w:val="18"/>
                      <w:szCs w:val="18"/>
                    </w:rPr>
                    <w:t>201</w:t>
                  </w:r>
                  <w:r>
                    <w:rPr>
                      <w:rFonts w:ascii="Arial" w:eastAsia="Times New Roman" w:hAnsi="Arial" w:cs="Arial"/>
                      <w:b/>
                      <w:bCs/>
                      <w:color w:val="FFFFFF"/>
                      <w:sz w:val="18"/>
                      <w:szCs w:val="18"/>
                    </w:rPr>
                    <w:t>9/20</w:t>
                  </w:r>
                </w:p>
              </w:tc>
              <w:tc>
                <w:tcPr>
                  <w:tcW w:w="1134" w:type="dxa"/>
                  <w:tcBorders>
                    <w:top w:val="single" w:sz="8" w:space="0" w:color="000000"/>
                    <w:left w:val="nil"/>
                    <w:bottom w:val="single" w:sz="8" w:space="0" w:color="000000"/>
                    <w:right w:val="single" w:sz="8" w:space="0" w:color="000000"/>
                  </w:tcBorders>
                  <w:shd w:val="clear" w:color="auto" w:fill="4472C4"/>
                  <w:vAlign w:val="center"/>
                  <w:hideMark/>
                </w:tcPr>
                <w:p w14:paraId="716FDA89" w14:textId="77777777" w:rsidR="00E465E2" w:rsidRPr="00474116" w:rsidRDefault="00E465E2">
                  <w:pPr>
                    <w:spacing w:after="0"/>
                    <w:jc w:val="right"/>
                    <w:rPr>
                      <w:rFonts w:ascii="Arial" w:eastAsia="Times New Roman" w:hAnsi="Arial" w:cs="Arial"/>
                      <w:b/>
                      <w:bCs/>
                      <w:color w:val="FFFFFF"/>
                      <w:sz w:val="18"/>
                      <w:szCs w:val="18"/>
                    </w:rPr>
                  </w:pPr>
                  <w:r w:rsidRPr="00474116">
                    <w:rPr>
                      <w:rFonts w:ascii="Arial" w:eastAsia="Times New Roman" w:hAnsi="Arial" w:cs="Arial"/>
                      <w:b/>
                      <w:bCs/>
                      <w:color w:val="FFFFFF"/>
                      <w:sz w:val="18"/>
                      <w:szCs w:val="18"/>
                    </w:rPr>
                    <w:t>20</w:t>
                  </w:r>
                  <w:r>
                    <w:rPr>
                      <w:rFonts w:ascii="Arial" w:eastAsia="Times New Roman" w:hAnsi="Arial" w:cs="Arial"/>
                      <w:b/>
                      <w:bCs/>
                      <w:color w:val="FFFFFF"/>
                      <w:sz w:val="18"/>
                      <w:szCs w:val="18"/>
                    </w:rPr>
                    <w:t>20/21</w:t>
                  </w:r>
                </w:p>
              </w:tc>
              <w:tc>
                <w:tcPr>
                  <w:tcW w:w="839" w:type="dxa"/>
                  <w:tcBorders>
                    <w:top w:val="single" w:sz="8" w:space="0" w:color="000000"/>
                    <w:left w:val="nil"/>
                    <w:bottom w:val="single" w:sz="8" w:space="0" w:color="000000"/>
                    <w:right w:val="single" w:sz="4" w:space="0" w:color="auto"/>
                  </w:tcBorders>
                  <w:shd w:val="clear" w:color="auto" w:fill="4472C4"/>
                  <w:vAlign w:val="center"/>
                  <w:hideMark/>
                </w:tcPr>
                <w:p w14:paraId="6B1FBD6B" w14:textId="77777777" w:rsidR="00E465E2" w:rsidRPr="00474116" w:rsidRDefault="00E465E2">
                  <w:pPr>
                    <w:spacing w:after="0"/>
                    <w:jc w:val="right"/>
                    <w:rPr>
                      <w:rFonts w:ascii="Arial" w:eastAsia="Times New Roman" w:hAnsi="Arial" w:cs="Arial"/>
                      <w:b/>
                      <w:bCs/>
                      <w:color w:val="FFFFFF"/>
                      <w:sz w:val="18"/>
                      <w:szCs w:val="18"/>
                    </w:rPr>
                  </w:pPr>
                  <w:r w:rsidRPr="00474116">
                    <w:rPr>
                      <w:rFonts w:ascii="Arial" w:eastAsia="Times New Roman" w:hAnsi="Arial" w:cs="Arial"/>
                      <w:b/>
                      <w:bCs/>
                      <w:color w:val="FFFFFF"/>
                      <w:sz w:val="18"/>
                      <w:szCs w:val="18"/>
                    </w:rPr>
                    <w:t>202</w:t>
                  </w:r>
                  <w:r>
                    <w:rPr>
                      <w:rFonts w:ascii="Arial" w:eastAsia="Times New Roman" w:hAnsi="Arial" w:cs="Arial"/>
                      <w:b/>
                      <w:bCs/>
                      <w:color w:val="FFFFFF"/>
                      <w:sz w:val="18"/>
                      <w:szCs w:val="18"/>
                    </w:rPr>
                    <w:t>1/22</w:t>
                  </w:r>
                </w:p>
              </w:tc>
              <w:tc>
                <w:tcPr>
                  <w:tcW w:w="1003" w:type="dxa"/>
                  <w:tcBorders>
                    <w:top w:val="single" w:sz="4" w:space="0" w:color="auto"/>
                    <w:left w:val="single" w:sz="4" w:space="0" w:color="auto"/>
                    <w:bottom w:val="single" w:sz="4" w:space="0" w:color="auto"/>
                    <w:right w:val="single" w:sz="4" w:space="0" w:color="auto"/>
                  </w:tcBorders>
                  <w:shd w:val="clear" w:color="auto" w:fill="4472C4"/>
                  <w:vAlign w:val="center"/>
                </w:tcPr>
                <w:p w14:paraId="3BB29141" w14:textId="77777777" w:rsidR="00E465E2" w:rsidRPr="00474116" w:rsidRDefault="00E465E2">
                  <w:pPr>
                    <w:spacing w:after="0"/>
                    <w:rPr>
                      <w:rFonts w:ascii="Arial" w:eastAsia="Times New Roman" w:hAnsi="Arial" w:cs="Arial"/>
                      <w:b/>
                      <w:bCs/>
                      <w:color w:val="FFFFFF"/>
                      <w:sz w:val="18"/>
                      <w:szCs w:val="18"/>
                    </w:rPr>
                  </w:pPr>
                  <w:r>
                    <w:rPr>
                      <w:rFonts w:ascii="Arial" w:eastAsia="Times New Roman" w:hAnsi="Arial" w:cs="Arial"/>
                      <w:b/>
                      <w:bCs/>
                      <w:color w:val="FFFFFF"/>
                      <w:sz w:val="18"/>
                      <w:szCs w:val="18"/>
                    </w:rPr>
                    <w:t>2022/23</w:t>
                  </w:r>
                </w:p>
              </w:tc>
              <w:tc>
                <w:tcPr>
                  <w:tcW w:w="1276" w:type="dxa"/>
                  <w:tcBorders>
                    <w:top w:val="single" w:sz="8" w:space="0" w:color="000000"/>
                    <w:left w:val="single" w:sz="4" w:space="0" w:color="auto"/>
                    <w:bottom w:val="single" w:sz="8" w:space="0" w:color="000000"/>
                    <w:right w:val="nil"/>
                  </w:tcBorders>
                  <w:shd w:val="clear" w:color="auto" w:fill="4472C4"/>
                  <w:vAlign w:val="center"/>
                  <w:hideMark/>
                </w:tcPr>
                <w:p w14:paraId="4C7B4D4B" w14:textId="77777777" w:rsidR="00E465E2" w:rsidRPr="00474116" w:rsidRDefault="00E465E2">
                  <w:pPr>
                    <w:spacing w:after="0"/>
                    <w:rPr>
                      <w:rFonts w:ascii="Arial" w:eastAsia="Times New Roman" w:hAnsi="Arial" w:cs="Arial"/>
                      <w:b/>
                      <w:bCs/>
                      <w:color w:val="FFFFFF"/>
                      <w:sz w:val="18"/>
                      <w:szCs w:val="18"/>
                    </w:rPr>
                  </w:pPr>
                  <w:r w:rsidRPr="00474116">
                    <w:rPr>
                      <w:rFonts w:ascii="Arial" w:eastAsia="Times New Roman" w:hAnsi="Arial" w:cs="Arial"/>
                      <w:b/>
                      <w:bCs/>
                      <w:color w:val="FFFFFF"/>
                      <w:sz w:val="18"/>
                      <w:szCs w:val="18"/>
                    </w:rPr>
                    <w:t>Q1 202</w:t>
                  </w:r>
                  <w:r>
                    <w:rPr>
                      <w:rFonts w:ascii="Arial" w:eastAsia="Times New Roman" w:hAnsi="Arial" w:cs="Arial"/>
                      <w:b/>
                      <w:bCs/>
                      <w:color w:val="FFFFFF"/>
                      <w:sz w:val="18"/>
                      <w:szCs w:val="18"/>
                    </w:rPr>
                    <w:t>3/24</w:t>
                  </w:r>
                </w:p>
              </w:tc>
              <w:tc>
                <w:tcPr>
                  <w:tcW w:w="1425" w:type="dxa"/>
                  <w:tcBorders>
                    <w:top w:val="single" w:sz="8" w:space="0" w:color="000000"/>
                    <w:left w:val="single" w:sz="8" w:space="0" w:color="000000"/>
                    <w:bottom w:val="single" w:sz="8" w:space="0" w:color="000000"/>
                    <w:right w:val="single" w:sz="8" w:space="0" w:color="000000"/>
                  </w:tcBorders>
                  <w:shd w:val="clear" w:color="auto" w:fill="4472C4"/>
                  <w:vAlign w:val="center"/>
                  <w:hideMark/>
                </w:tcPr>
                <w:p w14:paraId="3151188E" w14:textId="77777777" w:rsidR="00E465E2" w:rsidRPr="00474116" w:rsidRDefault="00E465E2">
                  <w:pPr>
                    <w:spacing w:after="0"/>
                    <w:rPr>
                      <w:rFonts w:ascii="Arial" w:eastAsia="Times New Roman" w:hAnsi="Arial" w:cs="Arial"/>
                      <w:b/>
                      <w:bCs/>
                      <w:color w:val="FFFFFF"/>
                      <w:sz w:val="18"/>
                      <w:szCs w:val="18"/>
                    </w:rPr>
                  </w:pPr>
                  <w:r>
                    <w:rPr>
                      <w:rFonts w:ascii="Arial" w:eastAsia="Times New Roman" w:hAnsi="Arial" w:cs="Arial"/>
                      <w:b/>
                      <w:bCs/>
                      <w:color w:val="FFFFFF"/>
                      <w:sz w:val="18"/>
                      <w:szCs w:val="18"/>
                    </w:rPr>
                    <w:t>Q2 2023/24</w:t>
                  </w:r>
                </w:p>
              </w:tc>
            </w:tr>
            <w:tr w:rsidR="00E465E2" w:rsidRPr="00474116" w14:paraId="5299C76C" w14:textId="77777777">
              <w:trPr>
                <w:trHeight w:val="586"/>
              </w:trPr>
              <w:tc>
                <w:tcPr>
                  <w:tcW w:w="3425" w:type="dxa"/>
                  <w:tcBorders>
                    <w:top w:val="single" w:sz="8" w:space="0" w:color="000000"/>
                    <w:left w:val="single" w:sz="8" w:space="0" w:color="000000"/>
                    <w:bottom w:val="single" w:sz="8" w:space="0" w:color="000000"/>
                    <w:right w:val="single" w:sz="8" w:space="0" w:color="000000"/>
                  </w:tcBorders>
                  <w:shd w:val="clear" w:color="auto" w:fill="FFFFFF"/>
                  <w:hideMark/>
                </w:tcPr>
                <w:p w14:paraId="02D929CC"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F&amp;CS Stage 1 Complaints actioned &lt; 5 days</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02522F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BBA5B5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95%</w:t>
                  </w:r>
                </w:p>
              </w:tc>
              <w:tc>
                <w:tcPr>
                  <w:tcW w:w="839" w:type="dxa"/>
                  <w:tcBorders>
                    <w:top w:val="single" w:sz="8" w:space="0" w:color="000000"/>
                    <w:left w:val="single" w:sz="8" w:space="0" w:color="000000"/>
                    <w:bottom w:val="single" w:sz="8" w:space="0" w:color="000000"/>
                    <w:right w:val="single" w:sz="8" w:space="0" w:color="000000"/>
                  </w:tcBorders>
                  <w:shd w:val="clear" w:color="auto" w:fill="FFFFFF"/>
                </w:tcPr>
                <w:p w14:paraId="074FA0C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c>
                <w:tcPr>
                  <w:tcW w:w="1003" w:type="dxa"/>
                  <w:tcBorders>
                    <w:top w:val="single" w:sz="4" w:space="0" w:color="auto"/>
                    <w:left w:val="single" w:sz="8" w:space="0" w:color="000000"/>
                    <w:bottom w:val="single" w:sz="8" w:space="0" w:color="000000"/>
                    <w:right w:val="single" w:sz="8" w:space="0" w:color="000000"/>
                  </w:tcBorders>
                  <w:shd w:val="clear" w:color="auto" w:fill="92D050"/>
                </w:tcPr>
                <w:p w14:paraId="14D8C426" w14:textId="77777777" w:rsidR="00E465E2" w:rsidRPr="00716967" w:rsidRDefault="00E465E2">
                  <w:pPr>
                    <w:jc w:val="right"/>
                    <w:rPr>
                      <w:rFonts w:ascii="Arial" w:hAnsi="Arial" w:cs="Arial"/>
                      <w:sz w:val="18"/>
                      <w:szCs w:val="18"/>
                    </w:rPr>
                  </w:pPr>
                  <w:r w:rsidRPr="00716967">
                    <w:rPr>
                      <w:rFonts w:ascii="Arial" w:hAnsi="Arial" w:cs="Arial"/>
                      <w:sz w:val="18"/>
                      <w:szCs w:val="18"/>
                    </w:rPr>
                    <w:t xml:space="preserve"> 96% (G)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E999F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Pr>
                <w:p w14:paraId="4EC40FA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r>
            <w:tr w:rsidR="00E465E2" w:rsidRPr="00474116" w14:paraId="3E80A26C" w14:textId="77777777">
              <w:trPr>
                <w:trHeight w:val="586"/>
              </w:trPr>
              <w:tc>
                <w:tcPr>
                  <w:tcW w:w="3425" w:type="dxa"/>
                  <w:tcBorders>
                    <w:top w:val="single" w:sz="8" w:space="0" w:color="000000"/>
                    <w:left w:val="single" w:sz="8" w:space="0" w:color="000000"/>
                    <w:bottom w:val="single" w:sz="8" w:space="0" w:color="000000"/>
                    <w:right w:val="single" w:sz="8" w:space="0" w:color="000000"/>
                  </w:tcBorders>
                  <w:shd w:val="clear" w:color="auto" w:fill="FFFFFF"/>
                  <w:hideMark/>
                </w:tcPr>
                <w:p w14:paraId="70844BD4"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F&amp;CS Stage 2 Complaints actioned &lt; 20 days</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E5DFCC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6B816D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c>
                <w:tcPr>
                  <w:tcW w:w="839" w:type="dxa"/>
                  <w:tcBorders>
                    <w:top w:val="single" w:sz="8" w:space="0" w:color="000000"/>
                    <w:left w:val="single" w:sz="8" w:space="0" w:color="000000"/>
                    <w:bottom w:val="single" w:sz="8" w:space="0" w:color="000000"/>
                    <w:right w:val="single" w:sz="8" w:space="0" w:color="000000"/>
                  </w:tcBorders>
                  <w:shd w:val="clear" w:color="auto" w:fill="FFFFFF"/>
                </w:tcPr>
                <w:p w14:paraId="2F5041AB"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c>
                <w:tcPr>
                  <w:tcW w:w="1003" w:type="dxa"/>
                  <w:tcBorders>
                    <w:top w:val="single" w:sz="8" w:space="0" w:color="000000"/>
                    <w:left w:val="single" w:sz="8" w:space="0" w:color="000000"/>
                    <w:bottom w:val="single" w:sz="8" w:space="0" w:color="000000"/>
                    <w:right w:val="single" w:sz="8" w:space="0" w:color="000000"/>
                  </w:tcBorders>
                  <w:shd w:val="clear" w:color="auto" w:fill="92D050"/>
                </w:tcPr>
                <w:p w14:paraId="34F40C9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 (G)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194FEE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Pr>
                <w:p w14:paraId="1C031D1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100%</w:t>
                  </w:r>
                </w:p>
              </w:tc>
            </w:tr>
          </w:tbl>
          <w:p w14:paraId="67E3EE9C" w14:textId="77777777" w:rsidR="00E465E2" w:rsidRDefault="00E465E2">
            <w:pPr>
              <w:rPr>
                <w:color w:val="4472C4"/>
                <w:szCs w:val="24"/>
              </w:rPr>
            </w:pPr>
          </w:p>
          <w:p w14:paraId="2E45CDA9" w14:textId="77777777" w:rsidR="00E465E2" w:rsidRPr="00F23642" w:rsidRDefault="00E465E2">
            <w:pPr>
              <w:rPr>
                <w:rFonts w:ascii="Arial" w:hAnsi="Arial" w:cs="Arial"/>
              </w:rPr>
            </w:pPr>
            <w:r w:rsidRPr="78F894BB">
              <w:rPr>
                <w:rFonts w:ascii="Arial" w:hAnsi="Arial" w:cs="Arial"/>
              </w:rPr>
              <w:t>The Directorate consistently handles complaints promptly and takes necessary actions, to enhance service delivery and address concerns effectively.</w:t>
            </w:r>
            <w:r>
              <w:rPr>
                <w:rFonts w:ascii="Arial" w:hAnsi="Arial" w:cs="Arial"/>
              </w:rPr>
              <w:t xml:space="preserve"> </w:t>
            </w:r>
            <w:r w:rsidRPr="00F23642">
              <w:rPr>
                <w:rFonts w:ascii="Arial" w:hAnsi="Arial" w:cs="Arial"/>
              </w:rPr>
              <w:t xml:space="preserve">The </w:t>
            </w:r>
            <w:r>
              <w:rPr>
                <w:rFonts w:ascii="Arial" w:hAnsi="Arial" w:cs="Arial"/>
              </w:rPr>
              <w:t>number</w:t>
            </w:r>
            <w:r w:rsidRPr="00F23642">
              <w:rPr>
                <w:rFonts w:ascii="Arial" w:hAnsi="Arial" w:cs="Arial"/>
              </w:rPr>
              <w:t xml:space="preserve"> of complaints remains minimal, given that the Directorate primarily focuses on</w:t>
            </w:r>
            <w:r>
              <w:rPr>
                <w:rFonts w:ascii="Arial" w:hAnsi="Arial" w:cs="Arial"/>
              </w:rPr>
              <w:t xml:space="preserve"> supporting</w:t>
            </w:r>
            <w:r w:rsidRPr="00F23642">
              <w:rPr>
                <w:rFonts w:ascii="Arial" w:hAnsi="Arial" w:cs="Arial"/>
              </w:rPr>
              <w:t xml:space="preserve"> internal customers rather than external ones.</w:t>
            </w:r>
            <w:r w:rsidRPr="78F894BB">
              <w:rPr>
                <w:rFonts w:ascii="Arial" w:hAnsi="Arial" w:cs="Arial"/>
              </w:rPr>
              <w:t xml:space="preserve"> </w:t>
            </w:r>
          </w:p>
          <w:p w14:paraId="46EF90F4" w14:textId="77777777" w:rsidR="00E465E2" w:rsidRDefault="00E465E2">
            <w:pPr>
              <w:spacing w:line="200" w:lineRule="exact"/>
              <w:rPr>
                <w:color w:val="0070C0"/>
                <w:sz w:val="20"/>
              </w:rPr>
            </w:pPr>
          </w:p>
          <w:p w14:paraId="41107256" w14:textId="77777777" w:rsidR="00942B84" w:rsidRDefault="00942B84" w:rsidP="00DA615A">
            <w:pPr>
              <w:spacing w:line="200" w:lineRule="exact"/>
              <w:rPr>
                <w:color w:val="0070C0"/>
                <w:sz w:val="20"/>
              </w:rPr>
            </w:pPr>
          </w:p>
          <w:p w14:paraId="0B073F46" w14:textId="77777777" w:rsidR="00942B84" w:rsidRDefault="00942B84" w:rsidP="00DA615A">
            <w:pPr>
              <w:spacing w:line="200" w:lineRule="exact"/>
              <w:rPr>
                <w:color w:val="0070C0"/>
                <w:sz w:val="20"/>
              </w:rPr>
            </w:pPr>
          </w:p>
          <w:p w14:paraId="673A3997" w14:textId="77777777" w:rsidR="00942B84" w:rsidRDefault="00942B84" w:rsidP="00DA615A">
            <w:pPr>
              <w:spacing w:line="200" w:lineRule="exact"/>
              <w:rPr>
                <w:color w:val="0070C0"/>
                <w:sz w:val="20"/>
              </w:rPr>
            </w:pPr>
          </w:p>
          <w:p w14:paraId="4C120467" w14:textId="77777777" w:rsidR="00942B84" w:rsidRDefault="00942B84" w:rsidP="00DA615A">
            <w:pPr>
              <w:spacing w:line="200" w:lineRule="exact"/>
              <w:rPr>
                <w:color w:val="0070C0"/>
                <w:sz w:val="20"/>
              </w:rPr>
            </w:pPr>
          </w:p>
          <w:p w14:paraId="2BB68E5B" w14:textId="77777777" w:rsidR="00942B84" w:rsidRDefault="00942B84" w:rsidP="00DA615A">
            <w:pPr>
              <w:spacing w:line="200" w:lineRule="exact"/>
              <w:rPr>
                <w:color w:val="0070C0"/>
                <w:sz w:val="20"/>
              </w:rPr>
            </w:pPr>
          </w:p>
          <w:p w14:paraId="6A3CF76F" w14:textId="77777777" w:rsidR="00942B84" w:rsidRDefault="00942B84" w:rsidP="00DA615A">
            <w:pPr>
              <w:spacing w:line="200" w:lineRule="exact"/>
              <w:rPr>
                <w:color w:val="0070C0"/>
                <w:sz w:val="20"/>
              </w:rPr>
            </w:pPr>
          </w:p>
          <w:p w14:paraId="108B9152" w14:textId="77777777" w:rsidR="00942B84" w:rsidRDefault="00942B84" w:rsidP="00DA615A">
            <w:pPr>
              <w:spacing w:line="200" w:lineRule="exact"/>
              <w:rPr>
                <w:color w:val="0070C0"/>
                <w:sz w:val="20"/>
              </w:rPr>
            </w:pPr>
          </w:p>
          <w:p w14:paraId="61492E21" w14:textId="77777777" w:rsidR="00942B84" w:rsidRDefault="00942B84" w:rsidP="00DA615A">
            <w:pPr>
              <w:spacing w:line="200" w:lineRule="exact"/>
              <w:rPr>
                <w:color w:val="0070C0"/>
                <w:sz w:val="20"/>
              </w:rPr>
            </w:pPr>
          </w:p>
          <w:p w14:paraId="532191CE" w14:textId="77777777" w:rsidR="00942B84" w:rsidRDefault="00942B84" w:rsidP="00DA615A">
            <w:pPr>
              <w:spacing w:line="200" w:lineRule="exact"/>
              <w:rPr>
                <w:color w:val="0070C0"/>
                <w:sz w:val="20"/>
              </w:rPr>
            </w:pPr>
          </w:p>
          <w:p w14:paraId="32DA79DE" w14:textId="77777777" w:rsidR="00942B84" w:rsidRDefault="00942B84" w:rsidP="00DA615A">
            <w:pPr>
              <w:spacing w:line="200" w:lineRule="exact"/>
              <w:rPr>
                <w:color w:val="0070C0"/>
                <w:sz w:val="20"/>
              </w:rPr>
            </w:pPr>
          </w:p>
          <w:p w14:paraId="50CB4FC2" w14:textId="77777777" w:rsidR="00942B84" w:rsidRDefault="00942B84" w:rsidP="00DA615A">
            <w:pPr>
              <w:spacing w:line="200" w:lineRule="exact"/>
              <w:rPr>
                <w:color w:val="0070C0"/>
                <w:sz w:val="20"/>
              </w:rPr>
            </w:pPr>
          </w:p>
          <w:p w14:paraId="2C2D50A7" w14:textId="77777777" w:rsidR="00942B84" w:rsidRDefault="00942B84" w:rsidP="00DA615A">
            <w:pPr>
              <w:spacing w:line="200" w:lineRule="exact"/>
              <w:rPr>
                <w:color w:val="0070C0"/>
                <w:sz w:val="20"/>
              </w:rPr>
            </w:pPr>
          </w:p>
          <w:p w14:paraId="6B02DA2E" w14:textId="77777777" w:rsidR="00942B84" w:rsidRDefault="00942B84" w:rsidP="00DA615A">
            <w:pPr>
              <w:spacing w:line="200" w:lineRule="exact"/>
              <w:rPr>
                <w:color w:val="0070C0"/>
                <w:sz w:val="20"/>
              </w:rPr>
            </w:pPr>
          </w:p>
          <w:p w14:paraId="29E7128C" w14:textId="77777777" w:rsidR="00942B84" w:rsidRDefault="00942B84" w:rsidP="00DA615A">
            <w:pPr>
              <w:spacing w:line="200" w:lineRule="exact"/>
              <w:rPr>
                <w:color w:val="0070C0"/>
                <w:sz w:val="20"/>
              </w:rPr>
            </w:pPr>
          </w:p>
          <w:p w14:paraId="6905662C" w14:textId="77777777" w:rsidR="00942B84" w:rsidRDefault="00942B84" w:rsidP="00DA615A">
            <w:pPr>
              <w:spacing w:line="200" w:lineRule="exact"/>
              <w:rPr>
                <w:color w:val="0070C0"/>
                <w:sz w:val="20"/>
              </w:rPr>
            </w:pPr>
          </w:p>
          <w:p w14:paraId="60DDE431" w14:textId="77777777" w:rsidR="00942B84" w:rsidRDefault="00942B84" w:rsidP="00DA615A">
            <w:pPr>
              <w:spacing w:line="200" w:lineRule="exact"/>
              <w:rPr>
                <w:color w:val="0070C0"/>
                <w:sz w:val="20"/>
              </w:rPr>
            </w:pPr>
          </w:p>
          <w:p w14:paraId="16DF1EA0" w14:textId="77777777" w:rsidR="001C6DCE" w:rsidRDefault="001C6DCE" w:rsidP="00DA615A">
            <w:pPr>
              <w:spacing w:line="200" w:lineRule="exact"/>
              <w:rPr>
                <w:color w:val="0070C0"/>
                <w:sz w:val="20"/>
              </w:rPr>
            </w:pPr>
          </w:p>
          <w:p w14:paraId="6F98C232" w14:textId="77777777" w:rsidR="00E465E2" w:rsidRDefault="00E465E2">
            <w:pPr>
              <w:spacing w:line="200" w:lineRule="exact"/>
              <w:rPr>
                <w:color w:val="0070C0"/>
                <w:sz w:val="20"/>
              </w:rPr>
            </w:pPr>
          </w:p>
        </w:tc>
      </w:tr>
      <w:tr w:rsidR="00E465E2" w:rsidRPr="00BB7B76" w14:paraId="58D767E7" w14:textId="77777777" w:rsidTr="00942736">
        <w:trPr>
          <w:trHeight w:val="338"/>
        </w:trPr>
        <w:tc>
          <w:tcPr>
            <w:tcW w:w="10348" w:type="dxa"/>
            <w:gridSpan w:val="2"/>
            <w:shd w:val="clear" w:color="auto" w:fill="4472C4"/>
          </w:tcPr>
          <w:p w14:paraId="313EFF5D" w14:textId="77777777" w:rsidR="00E465E2" w:rsidRDefault="00E465E2">
            <w:pPr>
              <w:jc w:val="center"/>
              <w:rPr>
                <w:rFonts w:cs="Calibri"/>
                <w:b/>
                <w:color w:val="FFFFFF"/>
                <w:sz w:val="28"/>
                <w:szCs w:val="28"/>
              </w:rPr>
            </w:pPr>
            <w:r>
              <w:lastRenderedPageBreak/>
              <w:br w:type="page"/>
            </w:r>
            <w:r>
              <w:rPr>
                <w:rFonts w:cs="Calibri"/>
                <w:b/>
                <w:color w:val="FFFFFF"/>
                <w:sz w:val="28"/>
                <w:szCs w:val="28"/>
              </w:rPr>
              <w:t>RESOURCES</w:t>
            </w:r>
          </w:p>
        </w:tc>
      </w:tr>
      <w:tr w:rsidR="00E465E2" w:rsidRPr="001A0396" w14:paraId="3EBAEAE0" w14:textId="77777777" w:rsidTr="00942736">
        <w:trPr>
          <w:trHeight w:val="2534"/>
        </w:trPr>
        <w:tc>
          <w:tcPr>
            <w:tcW w:w="10348" w:type="dxa"/>
            <w:gridSpan w:val="2"/>
            <w:vMerge w:val="restart"/>
            <w:shd w:val="clear" w:color="auto" w:fill="auto"/>
          </w:tcPr>
          <w:p w14:paraId="5AB9EFF1" w14:textId="77777777" w:rsidR="00E465E2" w:rsidRDefault="00E465E2">
            <w:pPr>
              <w:spacing w:line="200" w:lineRule="exact"/>
              <w:rPr>
                <w:rFonts w:ascii="Calibri" w:eastAsia="Calibri" w:hAnsi="Calibri" w:cs="Calibri"/>
                <w:bCs/>
                <w:color w:val="4472C4"/>
                <w:szCs w:val="24"/>
              </w:rPr>
            </w:pPr>
          </w:p>
          <w:p w14:paraId="2A36E764" w14:textId="77777777" w:rsidR="00E465E2" w:rsidRDefault="00E465E2">
            <w:pPr>
              <w:pStyle w:val="ListParagraph"/>
              <w:spacing w:line="200" w:lineRule="exact"/>
              <w:rPr>
                <w:rFonts w:cs="Calibri"/>
                <w:bCs/>
                <w:color w:val="4472C4"/>
                <w:sz w:val="24"/>
                <w:szCs w:val="24"/>
              </w:rPr>
            </w:pPr>
          </w:p>
          <w:tbl>
            <w:tblPr>
              <w:tblW w:w="10117" w:type="dxa"/>
              <w:tblLook w:val="04A0" w:firstRow="1" w:lastRow="0" w:firstColumn="1" w:lastColumn="0" w:noHBand="0" w:noVBand="1"/>
            </w:tblPr>
            <w:tblGrid>
              <w:gridCol w:w="2899"/>
              <w:gridCol w:w="1144"/>
              <w:gridCol w:w="1094"/>
              <w:gridCol w:w="1133"/>
              <w:gridCol w:w="1054"/>
              <w:gridCol w:w="1488"/>
              <w:gridCol w:w="1305"/>
            </w:tblGrid>
            <w:tr w:rsidR="00E465E2" w:rsidRPr="001F282D" w14:paraId="0910717C" w14:textId="77777777">
              <w:trPr>
                <w:trHeight w:val="316"/>
              </w:trPr>
              <w:tc>
                <w:tcPr>
                  <w:tcW w:w="2899" w:type="dxa"/>
                  <w:tcBorders>
                    <w:top w:val="nil"/>
                    <w:left w:val="single" w:sz="8" w:space="0" w:color="C0C0C0"/>
                    <w:bottom w:val="single" w:sz="4" w:space="0" w:color="auto"/>
                    <w:right w:val="single" w:sz="4" w:space="0" w:color="auto"/>
                  </w:tcBorders>
                  <w:shd w:val="clear" w:color="auto" w:fill="4472C4"/>
                  <w:hideMark/>
                </w:tcPr>
                <w:p w14:paraId="17579DF4" w14:textId="77777777" w:rsidR="00E465E2" w:rsidRPr="000E3484" w:rsidRDefault="00E465E2">
                  <w:pPr>
                    <w:spacing w:after="0"/>
                    <w:rPr>
                      <w:rFonts w:ascii="Arial" w:eastAsia="Times New Roman" w:hAnsi="Arial" w:cs="Arial"/>
                      <w:b/>
                      <w:color w:val="FFFFFF"/>
                      <w:sz w:val="18"/>
                      <w:szCs w:val="18"/>
                    </w:rPr>
                  </w:pPr>
                  <w:r w:rsidRPr="000E3484">
                    <w:rPr>
                      <w:rFonts w:ascii="Arial" w:eastAsia="Times New Roman" w:hAnsi="Arial" w:cs="Arial"/>
                      <w:b/>
                      <w:color w:val="FFFFFF"/>
                      <w:sz w:val="18"/>
                      <w:szCs w:val="18"/>
                    </w:rPr>
                    <w:t>PI Short Name</w:t>
                  </w:r>
                </w:p>
              </w:tc>
              <w:tc>
                <w:tcPr>
                  <w:tcW w:w="1144" w:type="dxa"/>
                  <w:tcBorders>
                    <w:top w:val="single" w:sz="4" w:space="0" w:color="auto"/>
                    <w:left w:val="single" w:sz="4" w:space="0" w:color="auto"/>
                    <w:bottom w:val="single" w:sz="4" w:space="0" w:color="auto"/>
                    <w:right w:val="single" w:sz="4" w:space="0" w:color="auto"/>
                  </w:tcBorders>
                  <w:shd w:val="clear" w:color="auto" w:fill="4472C4"/>
                </w:tcPr>
                <w:p w14:paraId="17535D14"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2019/20</w:t>
                  </w:r>
                </w:p>
              </w:tc>
              <w:tc>
                <w:tcPr>
                  <w:tcW w:w="1094" w:type="dxa"/>
                  <w:tcBorders>
                    <w:top w:val="single" w:sz="4" w:space="0" w:color="auto"/>
                    <w:left w:val="single" w:sz="4" w:space="0" w:color="auto"/>
                    <w:bottom w:val="single" w:sz="4" w:space="0" w:color="auto"/>
                    <w:right w:val="single" w:sz="4" w:space="0" w:color="auto"/>
                  </w:tcBorders>
                  <w:shd w:val="clear" w:color="auto" w:fill="4472C4"/>
                </w:tcPr>
                <w:p w14:paraId="74268E05"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2020/21</w:t>
                  </w:r>
                </w:p>
              </w:tc>
              <w:tc>
                <w:tcPr>
                  <w:tcW w:w="1133" w:type="dxa"/>
                  <w:tcBorders>
                    <w:top w:val="single" w:sz="4" w:space="0" w:color="auto"/>
                    <w:left w:val="single" w:sz="4" w:space="0" w:color="auto"/>
                    <w:bottom w:val="single" w:sz="4" w:space="0" w:color="auto"/>
                    <w:right w:val="single" w:sz="4" w:space="0" w:color="auto"/>
                  </w:tcBorders>
                  <w:shd w:val="clear" w:color="auto" w:fill="4472C4"/>
                </w:tcPr>
                <w:p w14:paraId="06235A25"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2021/22</w:t>
                  </w:r>
                </w:p>
              </w:tc>
              <w:tc>
                <w:tcPr>
                  <w:tcW w:w="1054" w:type="dxa"/>
                  <w:tcBorders>
                    <w:top w:val="single" w:sz="4" w:space="0" w:color="auto"/>
                    <w:left w:val="single" w:sz="4" w:space="0" w:color="auto"/>
                    <w:bottom w:val="single" w:sz="4" w:space="0" w:color="auto"/>
                    <w:right w:val="single" w:sz="4" w:space="0" w:color="auto"/>
                  </w:tcBorders>
                  <w:shd w:val="clear" w:color="auto" w:fill="4472C4"/>
                </w:tcPr>
                <w:p w14:paraId="1545E887"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2022/23</w:t>
                  </w:r>
                </w:p>
              </w:tc>
              <w:tc>
                <w:tcPr>
                  <w:tcW w:w="1488" w:type="dxa"/>
                  <w:tcBorders>
                    <w:top w:val="single" w:sz="4" w:space="0" w:color="auto"/>
                    <w:left w:val="single" w:sz="4" w:space="0" w:color="auto"/>
                    <w:bottom w:val="single" w:sz="4" w:space="0" w:color="auto"/>
                    <w:right w:val="single" w:sz="4" w:space="0" w:color="auto"/>
                  </w:tcBorders>
                  <w:shd w:val="clear" w:color="auto" w:fill="4472C4"/>
                </w:tcPr>
                <w:p w14:paraId="35F64787"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Q1 2023/24</w:t>
                  </w:r>
                </w:p>
              </w:tc>
              <w:tc>
                <w:tcPr>
                  <w:tcW w:w="1305" w:type="dxa"/>
                  <w:tcBorders>
                    <w:top w:val="single" w:sz="4" w:space="0" w:color="auto"/>
                    <w:left w:val="single" w:sz="4" w:space="0" w:color="auto"/>
                    <w:bottom w:val="single" w:sz="4" w:space="0" w:color="auto"/>
                    <w:right w:val="single" w:sz="4" w:space="0" w:color="auto"/>
                  </w:tcBorders>
                  <w:shd w:val="clear" w:color="auto" w:fill="4472C4"/>
                </w:tcPr>
                <w:p w14:paraId="4422E0A2" w14:textId="77777777" w:rsidR="00E465E2" w:rsidRPr="000E3484" w:rsidRDefault="00E465E2">
                  <w:pPr>
                    <w:spacing w:after="0"/>
                    <w:jc w:val="right"/>
                    <w:rPr>
                      <w:rFonts w:ascii="Arial" w:eastAsia="Times New Roman" w:hAnsi="Arial" w:cs="Arial"/>
                      <w:b/>
                      <w:color w:val="FFFFFF"/>
                      <w:sz w:val="18"/>
                      <w:szCs w:val="18"/>
                    </w:rPr>
                  </w:pPr>
                  <w:r w:rsidRPr="000E3484">
                    <w:rPr>
                      <w:rFonts w:ascii="Arial" w:eastAsia="Times New Roman" w:hAnsi="Arial" w:cs="Arial"/>
                      <w:b/>
                      <w:color w:val="FFFFFF"/>
                      <w:sz w:val="18"/>
                      <w:szCs w:val="18"/>
                    </w:rPr>
                    <w:t>Q2 2023/24</w:t>
                  </w:r>
                </w:p>
              </w:tc>
            </w:tr>
            <w:tr w:rsidR="00E465E2" w:rsidRPr="001F282D" w14:paraId="57263CAC"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56DE523A"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 Average WDL per FTE</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2A054D0B"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10.51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8696DE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FA9CE4B"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9.77</w:t>
                  </w:r>
                </w:p>
              </w:tc>
              <w:tc>
                <w:tcPr>
                  <w:tcW w:w="1054" w:type="dxa"/>
                  <w:tcBorders>
                    <w:top w:val="single" w:sz="4" w:space="0" w:color="auto"/>
                    <w:left w:val="single" w:sz="4" w:space="0" w:color="auto"/>
                    <w:bottom w:val="single" w:sz="4" w:space="0" w:color="auto"/>
                    <w:right w:val="single" w:sz="4" w:space="0" w:color="auto"/>
                  </w:tcBorders>
                  <w:shd w:val="clear" w:color="auto" w:fill="FF0000"/>
                </w:tcPr>
                <w:p w14:paraId="605C06D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11.32 (R)</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45800A4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12.15</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C161B6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11.52</w:t>
                  </w:r>
                </w:p>
              </w:tc>
            </w:tr>
            <w:tr w:rsidR="00E465E2" w:rsidRPr="001F282D" w14:paraId="572C3A95"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70F26ECB"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 Average Long-Term WDL per FTE</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1F91598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6.32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625878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CC67C9" w14:textId="77777777" w:rsidR="00E465E2" w:rsidRPr="00716967" w:rsidRDefault="00E465E2">
                  <w:pPr>
                    <w:spacing w:after="0"/>
                    <w:jc w:val="right"/>
                    <w:rPr>
                      <w:rFonts w:ascii="Arial" w:hAnsi="Arial" w:cs="Arial"/>
                    </w:rPr>
                  </w:pPr>
                  <w:r w:rsidRPr="00716967">
                    <w:rPr>
                      <w:rFonts w:ascii="Arial" w:eastAsia="Times New Roman" w:hAnsi="Arial" w:cs="Arial"/>
                      <w:color w:val="1D2828"/>
                      <w:sz w:val="18"/>
                      <w:szCs w:val="18"/>
                    </w:rPr>
                    <w:t>7.36</w:t>
                  </w:r>
                </w:p>
              </w:tc>
              <w:tc>
                <w:tcPr>
                  <w:tcW w:w="1054" w:type="dxa"/>
                  <w:tcBorders>
                    <w:top w:val="single" w:sz="4" w:space="0" w:color="auto"/>
                    <w:left w:val="single" w:sz="4" w:space="0" w:color="auto"/>
                    <w:bottom w:val="single" w:sz="4" w:space="0" w:color="auto"/>
                    <w:right w:val="single" w:sz="4" w:space="0" w:color="auto"/>
                  </w:tcBorders>
                  <w:shd w:val="clear" w:color="auto" w:fill="FFC000"/>
                </w:tcPr>
                <w:p w14:paraId="24B6508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7.94 (A)</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013C21F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8.28</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7AEFA8D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8.2</w:t>
                  </w:r>
                </w:p>
              </w:tc>
            </w:tr>
            <w:tr w:rsidR="00E465E2" w:rsidRPr="001F282D" w14:paraId="181C6887"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56D057A5"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Workforce who are Female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11BF35E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73.20%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6F83940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73.50%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5D33B8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74.90%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339F28C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74.40%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7BEBE40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2397F84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0F232D04"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14E2C761"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Workforce who are Full-time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B07A0E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77.40%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4EB41DB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76.50%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EE431D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73.00%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43581E4E"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75.30%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268F681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6698CDF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110177A2"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5382BE94"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Workforce who are Permanent Employees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9D6229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76.80%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06F9A0C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78.60%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1997BF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95.60%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6835506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96.30%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605A568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04B78F4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15033E82"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00574298"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Employees aged 24 and under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2EA2724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5.00%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907A67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4.70%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58A688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3.70%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49D873C2"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 xml:space="preserve">5.70% </w:t>
                  </w:r>
                </w:p>
                <w:p w14:paraId="0FDDB139"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46E47FB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47048F88"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5DF95EB2"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3881BC7F"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Employees aged 29 and under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429219C"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18FB56D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D3EF83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8.10%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73C4C00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10.10%</w:t>
                  </w:r>
                </w:p>
                <w:p w14:paraId="5E079DF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6544DDD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DFF15F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6FF0CAFC"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42B2A995"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Employees aged 55 and over (%)</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B20879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24.20%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09FE196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25.80%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4222A3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29.40%</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5DBA3B9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27.50%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4C8E3314"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064A6AD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1B423BF0"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03A81771"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Number of Voluntary Redundancies (FTEs)</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298011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17</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7C6FEF8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44219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4</w:t>
                  </w:r>
                </w:p>
              </w:tc>
              <w:tc>
                <w:tcPr>
                  <w:tcW w:w="1054" w:type="dxa"/>
                  <w:tcBorders>
                    <w:top w:val="single" w:sz="4" w:space="0" w:color="auto"/>
                    <w:left w:val="single" w:sz="4" w:space="0" w:color="auto"/>
                    <w:bottom w:val="single" w:sz="4" w:space="0" w:color="auto"/>
                    <w:right w:val="single" w:sz="4" w:space="0" w:color="auto"/>
                  </w:tcBorders>
                  <w:shd w:val="clear" w:color="auto" w:fill="FFFFFF"/>
                </w:tcPr>
                <w:p w14:paraId="69CAB10B"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1FF6DC93"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C78A44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7E7B73E5"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5702365C"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Number of WYI Bids</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0AEC4EE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69BA17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8E8995"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2</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6640DECF"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7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61B0A88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13F250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r w:rsidR="00E465E2" w:rsidRPr="001F282D" w14:paraId="1D144133" w14:textId="77777777">
              <w:trPr>
                <w:trHeight w:val="557"/>
              </w:trPr>
              <w:tc>
                <w:tcPr>
                  <w:tcW w:w="2899" w:type="dxa"/>
                  <w:tcBorders>
                    <w:top w:val="single" w:sz="4" w:space="0" w:color="auto"/>
                    <w:left w:val="single" w:sz="4" w:space="0" w:color="auto"/>
                    <w:bottom w:val="single" w:sz="4" w:space="0" w:color="auto"/>
                    <w:right w:val="single" w:sz="4" w:space="0" w:color="auto"/>
                  </w:tcBorders>
                  <w:shd w:val="clear" w:color="auto" w:fill="FFFFFF"/>
                  <w:hideMark/>
                </w:tcPr>
                <w:p w14:paraId="611A24E8"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Finance &amp; Corporate Services Number of WYI Programme new starts</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4306B6E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73A418A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952C33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5</w:t>
                  </w:r>
                </w:p>
              </w:tc>
              <w:tc>
                <w:tcPr>
                  <w:tcW w:w="1054" w:type="dxa"/>
                  <w:tcBorders>
                    <w:top w:val="single" w:sz="4" w:space="0" w:color="auto"/>
                    <w:left w:val="single" w:sz="4" w:space="0" w:color="auto"/>
                    <w:bottom w:val="single" w:sz="4" w:space="0" w:color="auto"/>
                    <w:right w:val="single" w:sz="4" w:space="0" w:color="auto"/>
                  </w:tcBorders>
                  <w:shd w:val="clear" w:color="auto" w:fill="92D050"/>
                </w:tcPr>
                <w:p w14:paraId="7717FB4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6 (G)</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6E0EEA91"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4D49A38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N/A</w:t>
                  </w:r>
                </w:p>
              </w:tc>
            </w:tr>
          </w:tbl>
          <w:p w14:paraId="2D16075D" w14:textId="77777777" w:rsidR="00E465E2" w:rsidRDefault="00E465E2" w:rsidP="000063B2">
            <w:pPr>
              <w:spacing w:before="0" w:after="0"/>
              <w:contextualSpacing/>
              <w:rPr>
                <w:rFonts w:ascii="Arial" w:eastAsia="Calibri" w:hAnsi="Arial" w:cs="Arial"/>
                <w:color w:val="2E74B5"/>
                <w:szCs w:val="24"/>
              </w:rPr>
            </w:pPr>
          </w:p>
          <w:p w14:paraId="4125395A"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t>In 2021/22, as we returned to work either in full or on a blended workstyle basis, our absence rate has increased but remains lower than pre-pandemic levels, perhaps in part due to the flexibility many staff have in the way they work. In 2022/23, as we have returned to a post-pandemic period our levels of absence have increased perhaps due to the increase in employees mixing with more people and the levels of transmission of ailments increasing due to no restrictions being in place. However, Finance and Corporate Services, at an average of 11.32 average working days lost for the rolling year to 31 March 2023, sits below the Fife Council average of 14.02 average working days lost (or average of 15.85, if teachers’ absence is excluded).</w:t>
            </w:r>
          </w:p>
          <w:p w14:paraId="4C15FEDF" w14:textId="77777777" w:rsidR="00E465E2" w:rsidRDefault="00E465E2">
            <w:pPr>
              <w:pStyle w:val="ListParagraph"/>
              <w:contextualSpacing/>
              <w:rPr>
                <w:rFonts w:ascii="Arial" w:hAnsi="Arial" w:cs="Arial"/>
                <w:sz w:val="24"/>
                <w:szCs w:val="24"/>
              </w:rPr>
            </w:pPr>
          </w:p>
          <w:p w14:paraId="02DF8E4D" w14:textId="77777777" w:rsidR="00E465E2" w:rsidRDefault="00E465E2" w:rsidP="000063B2">
            <w:pPr>
              <w:spacing w:before="0" w:after="0"/>
              <w:contextualSpacing/>
              <w:rPr>
                <w:rFonts w:ascii="Arial" w:eastAsia="Calibri" w:hAnsi="Arial" w:cs="Arial"/>
                <w:szCs w:val="24"/>
              </w:rPr>
            </w:pPr>
          </w:p>
          <w:p w14:paraId="5562D8EB"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t>Our headcount by age range peaks at 55 to 59, and we have approximately the same number of staff aged 50 to 54 as we do under the age of 40. This demographic is seen across the Council. This is concerning as there is a desire to bring more young people into the workforce however this is limited given the stable state of the workforce. However, there was an increase in the workforce aged under 30 in the past year.</w:t>
            </w:r>
          </w:p>
          <w:p w14:paraId="78D664D1" w14:textId="77777777" w:rsidR="00966B22" w:rsidRPr="00966B22" w:rsidRDefault="00966B22" w:rsidP="00966B22">
            <w:pPr>
              <w:contextualSpacing/>
              <w:rPr>
                <w:rFonts w:ascii="Arial" w:hAnsi="Arial" w:cs="Arial"/>
                <w:szCs w:val="24"/>
              </w:rPr>
            </w:pPr>
          </w:p>
          <w:p w14:paraId="4C288B03" w14:textId="77777777" w:rsidR="00E465E2" w:rsidRDefault="00E465E2" w:rsidP="000063B2">
            <w:pPr>
              <w:spacing w:before="0" w:after="0"/>
              <w:contextualSpacing/>
              <w:rPr>
                <w:rFonts w:ascii="Arial" w:eastAsia="Calibri" w:hAnsi="Arial" w:cs="Arial"/>
                <w:szCs w:val="24"/>
              </w:rPr>
            </w:pPr>
          </w:p>
          <w:p w14:paraId="4A69C230"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lastRenderedPageBreak/>
              <w:t xml:space="preserve">Services in the Directorate have continued to find retaining skilled staff and attracting new talent challenging. Our workforce strategy (Our People Matter) sets out our strategic commitment to addressing those challenges and our work in Services and at a corporate level on workforce planning explores and tests solutions. </w:t>
            </w:r>
          </w:p>
          <w:p w14:paraId="564B8BF2" w14:textId="77777777" w:rsidR="00E465E2" w:rsidRDefault="00E465E2" w:rsidP="000063B2">
            <w:pPr>
              <w:spacing w:before="0" w:after="0"/>
              <w:contextualSpacing/>
              <w:rPr>
                <w:rFonts w:ascii="Arial" w:eastAsia="Calibri" w:hAnsi="Arial" w:cs="Arial"/>
                <w:szCs w:val="24"/>
              </w:rPr>
            </w:pPr>
          </w:p>
          <w:p w14:paraId="2B449AF5"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t xml:space="preserve">In addressing these challenges, as part of the first cycle of workforce planning activities, Services across the Directorate have identified key areas for action, including upskilling staff and identifying training and development needs to improve staff retention, succession planning, and increasing opportunities for young people and taking a grow our own talent approach. </w:t>
            </w:r>
          </w:p>
          <w:p w14:paraId="01F96CE5" w14:textId="77777777" w:rsidR="00E465E2" w:rsidRDefault="00E465E2" w:rsidP="000063B2">
            <w:pPr>
              <w:spacing w:before="0" w:after="0"/>
              <w:contextualSpacing/>
              <w:rPr>
                <w:rFonts w:ascii="Arial" w:eastAsia="Calibri" w:hAnsi="Arial" w:cs="Arial"/>
                <w:szCs w:val="24"/>
              </w:rPr>
            </w:pPr>
          </w:p>
          <w:p w14:paraId="58D33008"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t>Good progress has been made in addressing the ageing profile of the Directorate.  Notably, 46% of new starts in 2022/23 were under the age of 30.</w:t>
            </w:r>
          </w:p>
          <w:p w14:paraId="38E68E82" w14:textId="77777777" w:rsidR="00E465E2" w:rsidRDefault="00E465E2" w:rsidP="000063B2">
            <w:pPr>
              <w:spacing w:before="0" w:after="0"/>
              <w:contextualSpacing/>
              <w:rPr>
                <w:rFonts w:ascii="Arial" w:eastAsia="Calibri" w:hAnsi="Arial" w:cs="Arial"/>
                <w:szCs w:val="24"/>
              </w:rPr>
            </w:pPr>
          </w:p>
          <w:p w14:paraId="7FF5D568" w14:textId="77777777" w:rsidR="00E465E2" w:rsidRDefault="00E465E2" w:rsidP="00E465E2">
            <w:pPr>
              <w:pStyle w:val="ListParagraph"/>
              <w:numPr>
                <w:ilvl w:val="0"/>
                <w:numId w:val="7"/>
              </w:numPr>
              <w:contextualSpacing/>
              <w:rPr>
                <w:rFonts w:ascii="Arial" w:hAnsi="Arial" w:cs="Arial"/>
                <w:sz w:val="24"/>
                <w:szCs w:val="24"/>
              </w:rPr>
            </w:pPr>
            <w:r>
              <w:rPr>
                <w:rFonts w:ascii="Arial" w:hAnsi="Arial" w:cs="Arial"/>
                <w:sz w:val="24"/>
                <w:szCs w:val="24"/>
              </w:rPr>
              <w:t>The Directorate has supported new starts through the Workforce Youth Investment (WYI) Programme.  This has been very successful.  Services were able to start 6 young people during 2022/23 utilising WYI funding, including 5 Modern Apprentices across Business Support, Finance, Electoral Services and Procurement and a Fire Safety Trainee within HR.  Of these 6, 2 have already went on to successfully gain permanent roles within the Directorate.</w:t>
            </w:r>
          </w:p>
          <w:p w14:paraId="1509023A" w14:textId="77777777" w:rsidR="00E465E2" w:rsidRDefault="00E465E2">
            <w:pPr>
              <w:rPr>
                <w:rFonts w:ascii="Arial" w:eastAsia="Calibri" w:hAnsi="Arial" w:cs="Arial"/>
                <w:szCs w:val="24"/>
              </w:rPr>
            </w:pPr>
          </w:p>
          <w:p w14:paraId="7F0056D3" w14:textId="77777777" w:rsidR="00E465E2" w:rsidRDefault="00E465E2">
            <w:pPr>
              <w:rPr>
                <w:rFonts w:ascii="Arial" w:eastAsia="Calibri" w:hAnsi="Arial" w:cs="Arial"/>
                <w:szCs w:val="24"/>
              </w:rPr>
            </w:pPr>
            <w:r>
              <w:rPr>
                <w:rFonts w:ascii="Arial" w:eastAsia="Calibri" w:hAnsi="Arial" w:cs="Arial"/>
                <w:szCs w:val="24"/>
              </w:rPr>
              <w:t xml:space="preserve">The table below provides information on </w:t>
            </w:r>
            <w:r>
              <w:rPr>
                <w:rFonts w:ascii="Arial" w:eastAsia="Calibri" w:hAnsi="Arial" w:cs="Arial"/>
                <w:b/>
                <w:szCs w:val="24"/>
              </w:rPr>
              <w:t>Finance and Corporate Services</w:t>
            </w:r>
            <w:r>
              <w:rPr>
                <w:rFonts w:ascii="Arial" w:eastAsia="Calibri" w:hAnsi="Arial" w:cs="Arial"/>
                <w:szCs w:val="24"/>
              </w:rPr>
              <w:t xml:space="preserve"> workforce data by Budgeted (FTE) for the current year and the last 4 years. </w:t>
            </w:r>
          </w:p>
          <w:p w14:paraId="4B0FD7FC" w14:textId="77777777" w:rsidR="00E465E2" w:rsidRDefault="00E465E2">
            <w:pPr>
              <w:spacing w:line="200" w:lineRule="exact"/>
              <w:rPr>
                <w:rFonts w:ascii="Calibri" w:eastAsia="Calibri" w:hAnsi="Calibri" w:cs="Calibri"/>
                <w:color w:val="8496B0"/>
                <w:szCs w:val="24"/>
              </w:rPr>
            </w:pPr>
            <w:r>
              <w:rPr>
                <w:rFonts w:eastAsia="Yu Mincho"/>
                <w:color w:val="2F5496"/>
                <w:szCs w:val="24"/>
              </w:rPr>
              <w:t xml:space="preserve"> </w:t>
            </w:r>
            <w:r>
              <w:rPr>
                <w:rFonts w:ascii="Calibri" w:eastAsia="Calibri" w:hAnsi="Calibri" w:cs="Calibri"/>
                <w:color w:val="2F5496"/>
                <w:szCs w:val="24"/>
              </w:rPr>
              <w:t xml:space="preserve">  </w:t>
            </w:r>
            <w:r>
              <w:rPr>
                <w:rFonts w:ascii="Calibri" w:eastAsia="Calibri" w:hAnsi="Calibri" w:cs="Calibri"/>
                <w:color w:val="8496B0"/>
                <w:szCs w:val="24"/>
              </w:rPr>
              <w:t xml:space="preserve"> </w:t>
            </w:r>
          </w:p>
          <w:tbl>
            <w:tblPr>
              <w:tblW w:w="10112" w:type="dxa"/>
              <w:jc w:val="center"/>
              <w:tblLook w:val="04A0" w:firstRow="1" w:lastRow="0" w:firstColumn="1" w:lastColumn="0" w:noHBand="0" w:noVBand="1"/>
            </w:tblPr>
            <w:tblGrid>
              <w:gridCol w:w="1693"/>
              <w:gridCol w:w="1644"/>
              <w:gridCol w:w="1609"/>
              <w:gridCol w:w="1760"/>
              <w:gridCol w:w="1631"/>
              <w:gridCol w:w="1775"/>
            </w:tblGrid>
            <w:tr w:rsidR="00E465E2" w:rsidRPr="00D97442" w14:paraId="4F1378AD" w14:textId="77777777">
              <w:trPr>
                <w:trHeight w:val="608"/>
                <w:jc w:val="center"/>
              </w:trPr>
              <w:tc>
                <w:tcPr>
                  <w:tcW w:w="1693" w:type="dxa"/>
                  <w:tcBorders>
                    <w:top w:val="single" w:sz="8" w:space="0" w:color="auto"/>
                    <w:left w:val="single" w:sz="8" w:space="0" w:color="auto"/>
                    <w:bottom w:val="single" w:sz="8" w:space="0" w:color="auto"/>
                    <w:right w:val="single" w:sz="8" w:space="0" w:color="auto"/>
                  </w:tcBorders>
                  <w:shd w:val="clear" w:color="auto" w:fill="4472C4"/>
                  <w:vAlign w:val="center"/>
                </w:tcPr>
                <w:p w14:paraId="39DDB7CA" w14:textId="77777777" w:rsidR="00E465E2" w:rsidRPr="00415261" w:rsidRDefault="00E465E2">
                  <w:pPr>
                    <w:rPr>
                      <w:rFonts w:ascii="Calibri" w:eastAsia="Calibri" w:hAnsi="Calibri" w:cs="Calibri"/>
                      <w:color w:val="FFFFFF"/>
                    </w:rPr>
                  </w:pPr>
                  <w:r w:rsidRPr="00415261">
                    <w:rPr>
                      <w:rFonts w:ascii="Calibri" w:eastAsia="Calibri" w:hAnsi="Calibri" w:cs="Calibri"/>
                      <w:b/>
                      <w:color w:val="FFFFFF"/>
                    </w:rPr>
                    <w:t>Budgeted (FTE) April 2019</w:t>
                  </w:r>
                </w:p>
              </w:tc>
              <w:tc>
                <w:tcPr>
                  <w:tcW w:w="1644" w:type="dxa"/>
                  <w:tcBorders>
                    <w:top w:val="single" w:sz="8" w:space="0" w:color="auto"/>
                    <w:left w:val="single" w:sz="8" w:space="0" w:color="auto"/>
                    <w:bottom w:val="single" w:sz="8" w:space="0" w:color="auto"/>
                    <w:right w:val="single" w:sz="8" w:space="0" w:color="auto"/>
                  </w:tcBorders>
                  <w:shd w:val="clear" w:color="auto" w:fill="4472C4"/>
                  <w:vAlign w:val="center"/>
                </w:tcPr>
                <w:p w14:paraId="09E080AD" w14:textId="77777777" w:rsidR="00E465E2" w:rsidRPr="00415261" w:rsidRDefault="00E465E2">
                  <w:pPr>
                    <w:rPr>
                      <w:rFonts w:ascii="Calibri" w:eastAsia="Calibri" w:hAnsi="Calibri" w:cs="Calibri"/>
                      <w:color w:val="FFFFFF"/>
                    </w:rPr>
                  </w:pPr>
                  <w:r w:rsidRPr="00415261">
                    <w:rPr>
                      <w:rFonts w:ascii="Calibri" w:eastAsia="Calibri" w:hAnsi="Calibri" w:cs="Calibri"/>
                      <w:b/>
                      <w:color w:val="FFFFFF"/>
                    </w:rPr>
                    <w:t>Budgeted (FTE) April 2020</w:t>
                  </w:r>
                </w:p>
              </w:tc>
              <w:tc>
                <w:tcPr>
                  <w:tcW w:w="1609" w:type="dxa"/>
                  <w:tcBorders>
                    <w:top w:val="single" w:sz="8" w:space="0" w:color="auto"/>
                    <w:left w:val="single" w:sz="8" w:space="0" w:color="auto"/>
                    <w:bottom w:val="single" w:sz="8" w:space="0" w:color="auto"/>
                    <w:right w:val="single" w:sz="8" w:space="0" w:color="auto"/>
                  </w:tcBorders>
                  <w:shd w:val="clear" w:color="auto" w:fill="4472C4"/>
                  <w:vAlign w:val="center"/>
                </w:tcPr>
                <w:p w14:paraId="04B51A7C" w14:textId="77777777" w:rsidR="00E465E2" w:rsidRPr="00415261" w:rsidRDefault="00E465E2">
                  <w:pPr>
                    <w:rPr>
                      <w:rFonts w:ascii="Calibri" w:eastAsia="Calibri" w:hAnsi="Calibri" w:cs="Calibri"/>
                      <w:color w:val="FFFFFF"/>
                    </w:rPr>
                  </w:pPr>
                  <w:r w:rsidRPr="00415261">
                    <w:rPr>
                      <w:rFonts w:ascii="Calibri" w:eastAsia="Calibri" w:hAnsi="Calibri" w:cs="Calibri"/>
                      <w:b/>
                      <w:color w:val="FFFFFF"/>
                    </w:rPr>
                    <w:t>Budgeted (FTE) April 2021</w:t>
                  </w:r>
                </w:p>
              </w:tc>
              <w:tc>
                <w:tcPr>
                  <w:tcW w:w="1760" w:type="dxa"/>
                  <w:tcBorders>
                    <w:top w:val="single" w:sz="8" w:space="0" w:color="auto"/>
                    <w:left w:val="single" w:sz="8" w:space="0" w:color="auto"/>
                    <w:bottom w:val="single" w:sz="8" w:space="0" w:color="auto"/>
                    <w:right w:val="single" w:sz="8" w:space="0" w:color="auto"/>
                  </w:tcBorders>
                  <w:shd w:val="clear" w:color="auto" w:fill="4472C4"/>
                  <w:vAlign w:val="center"/>
                </w:tcPr>
                <w:p w14:paraId="32C5ABEA" w14:textId="77777777" w:rsidR="00E465E2" w:rsidRPr="00415261" w:rsidRDefault="00E465E2">
                  <w:pPr>
                    <w:rPr>
                      <w:rFonts w:ascii="Calibri" w:eastAsia="Calibri" w:hAnsi="Calibri" w:cs="Calibri"/>
                      <w:b/>
                      <w:color w:val="FFFFFF"/>
                    </w:rPr>
                  </w:pPr>
                  <w:r w:rsidRPr="00415261">
                    <w:rPr>
                      <w:rFonts w:ascii="Calibri" w:eastAsia="Calibri" w:hAnsi="Calibri" w:cs="Calibri"/>
                      <w:b/>
                      <w:bCs/>
                      <w:color w:val="FFFFFF"/>
                    </w:rPr>
                    <w:t>Budgeted (FTE) April 2022</w:t>
                  </w:r>
                </w:p>
              </w:tc>
              <w:tc>
                <w:tcPr>
                  <w:tcW w:w="1631" w:type="dxa"/>
                  <w:tcBorders>
                    <w:top w:val="single" w:sz="8" w:space="0" w:color="auto"/>
                    <w:left w:val="single" w:sz="8" w:space="0" w:color="auto"/>
                    <w:bottom w:val="single" w:sz="4" w:space="0" w:color="auto"/>
                    <w:right w:val="single" w:sz="8" w:space="0" w:color="auto"/>
                  </w:tcBorders>
                  <w:shd w:val="clear" w:color="auto" w:fill="4472C4"/>
                </w:tcPr>
                <w:p w14:paraId="6460F191" w14:textId="77777777" w:rsidR="00E465E2" w:rsidRPr="00415261" w:rsidRDefault="00E465E2">
                  <w:pPr>
                    <w:rPr>
                      <w:rFonts w:ascii="Calibri" w:eastAsia="Calibri" w:hAnsi="Calibri" w:cs="Calibri"/>
                      <w:b/>
                      <w:bCs/>
                      <w:color w:val="FFFFFF"/>
                    </w:rPr>
                  </w:pPr>
                  <w:r w:rsidRPr="00415261">
                    <w:rPr>
                      <w:rFonts w:ascii="Calibri" w:eastAsia="Calibri" w:hAnsi="Calibri" w:cs="Calibri"/>
                      <w:b/>
                      <w:bCs/>
                      <w:color w:val="FFFFFF"/>
                    </w:rPr>
                    <w:t>Budgeted (FTE) April 2023</w:t>
                  </w:r>
                </w:p>
              </w:tc>
              <w:tc>
                <w:tcPr>
                  <w:tcW w:w="1775" w:type="dxa"/>
                  <w:tcBorders>
                    <w:top w:val="single" w:sz="8" w:space="0" w:color="auto"/>
                    <w:left w:val="single" w:sz="8" w:space="0" w:color="auto"/>
                    <w:bottom w:val="single" w:sz="4" w:space="0" w:color="auto"/>
                    <w:right w:val="single" w:sz="8" w:space="0" w:color="auto"/>
                  </w:tcBorders>
                  <w:shd w:val="clear" w:color="auto" w:fill="4472C4"/>
                  <w:vAlign w:val="center"/>
                </w:tcPr>
                <w:p w14:paraId="76204567" w14:textId="77777777" w:rsidR="00E465E2" w:rsidRPr="00415261" w:rsidRDefault="00E465E2">
                  <w:pPr>
                    <w:rPr>
                      <w:rFonts w:ascii="Calibri" w:eastAsia="Calibri" w:hAnsi="Calibri" w:cs="Calibri"/>
                      <w:b/>
                      <w:bCs/>
                      <w:color w:val="FFFFFF"/>
                    </w:rPr>
                  </w:pPr>
                  <w:r w:rsidRPr="00415261">
                    <w:rPr>
                      <w:rFonts w:ascii="Calibri" w:eastAsia="Calibri" w:hAnsi="Calibri" w:cs="Calibri"/>
                      <w:b/>
                      <w:bCs/>
                      <w:color w:val="FFFFFF"/>
                    </w:rPr>
                    <w:t>Difference in FTE 2022-2023</w:t>
                  </w:r>
                </w:p>
              </w:tc>
            </w:tr>
            <w:tr w:rsidR="00E465E2" w:rsidRPr="00D97442" w14:paraId="0851F1C2" w14:textId="77777777">
              <w:trPr>
                <w:trHeight w:val="311"/>
                <w:jc w:val="center"/>
              </w:trPr>
              <w:tc>
                <w:tcPr>
                  <w:tcW w:w="1693" w:type="dxa"/>
                  <w:tcBorders>
                    <w:top w:val="single" w:sz="4" w:space="0" w:color="auto"/>
                    <w:left w:val="single" w:sz="4" w:space="0" w:color="auto"/>
                    <w:bottom w:val="single" w:sz="4" w:space="0" w:color="auto"/>
                    <w:right w:val="single" w:sz="4" w:space="0" w:color="auto"/>
                  </w:tcBorders>
                  <w:shd w:val="clear" w:color="auto" w:fill="FFFFFF"/>
                  <w:vAlign w:val="bottom"/>
                </w:tcPr>
                <w:p w14:paraId="39097338" w14:textId="77777777" w:rsidR="00E465E2" w:rsidRPr="004E404E" w:rsidRDefault="00E465E2">
                  <w:pPr>
                    <w:jc w:val="center"/>
                    <w:rPr>
                      <w:rFonts w:ascii="Calibri" w:eastAsia="Calibri" w:hAnsi="Calibri" w:cs="Calibri"/>
                      <w:color w:val="002060"/>
                    </w:rPr>
                  </w:pPr>
                  <w:r w:rsidRPr="004E404E">
                    <w:rPr>
                      <w:rFonts w:ascii="Calibri" w:eastAsia="Times New Roman" w:hAnsi="Calibri" w:cs="Calibri"/>
                      <w:color w:val="002060"/>
                    </w:rPr>
                    <w:t>1,272.16</w:t>
                  </w:r>
                </w:p>
              </w:tc>
              <w:tc>
                <w:tcPr>
                  <w:tcW w:w="1644" w:type="dxa"/>
                  <w:tcBorders>
                    <w:top w:val="single" w:sz="4" w:space="0" w:color="auto"/>
                    <w:left w:val="nil"/>
                    <w:bottom w:val="single" w:sz="4" w:space="0" w:color="auto"/>
                    <w:right w:val="single" w:sz="4" w:space="0" w:color="auto"/>
                  </w:tcBorders>
                  <w:shd w:val="clear" w:color="auto" w:fill="FFFFFF"/>
                  <w:vAlign w:val="bottom"/>
                </w:tcPr>
                <w:p w14:paraId="3A95F42D" w14:textId="77777777" w:rsidR="00E465E2" w:rsidRPr="004E404E" w:rsidRDefault="00E465E2">
                  <w:pPr>
                    <w:jc w:val="center"/>
                    <w:rPr>
                      <w:rFonts w:ascii="Calibri" w:eastAsia="Calibri" w:hAnsi="Calibri" w:cs="Calibri"/>
                      <w:color w:val="002060"/>
                    </w:rPr>
                  </w:pPr>
                  <w:r w:rsidRPr="004E404E">
                    <w:rPr>
                      <w:rFonts w:ascii="Calibri" w:eastAsia="Times New Roman" w:hAnsi="Calibri" w:cs="Calibri"/>
                      <w:color w:val="002060"/>
                    </w:rPr>
                    <w:t>1,102.11</w:t>
                  </w:r>
                </w:p>
              </w:tc>
              <w:tc>
                <w:tcPr>
                  <w:tcW w:w="1609" w:type="dxa"/>
                  <w:tcBorders>
                    <w:top w:val="single" w:sz="4" w:space="0" w:color="auto"/>
                    <w:left w:val="nil"/>
                    <w:bottom w:val="single" w:sz="4" w:space="0" w:color="auto"/>
                    <w:right w:val="single" w:sz="4" w:space="0" w:color="auto"/>
                  </w:tcBorders>
                  <w:shd w:val="clear" w:color="auto" w:fill="FFFFFF"/>
                  <w:vAlign w:val="bottom"/>
                </w:tcPr>
                <w:p w14:paraId="25C52B1B" w14:textId="77777777" w:rsidR="00E465E2" w:rsidRPr="004E404E" w:rsidRDefault="00E465E2">
                  <w:pPr>
                    <w:jc w:val="center"/>
                    <w:rPr>
                      <w:rFonts w:ascii="Calibri" w:eastAsia="Calibri" w:hAnsi="Calibri" w:cs="Calibri"/>
                      <w:color w:val="002060"/>
                    </w:rPr>
                  </w:pPr>
                  <w:r w:rsidRPr="004E404E">
                    <w:rPr>
                      <w:rFonts w:ascii="Calibri" w:eastAsia="Times New Roman" w:hAnsi="Calibri" w:cs="Calibri"/>
                      <w:color w:val="002060"/>
                    </w:rPr>
                    <w:t>1,069.42</w:t>
                  </w:r>
                </w:p>
              </w:tc>
              <w:tc>
                <w:tcPr>
                  <w:tcW w:w="1760" w:type="dxa"/>
                  <w:tcBorders>
                    <w:top w:val="single" w:sz="4" w:space="0" w:color="auto"/>
                    <w:left w:val="nil"/>
                    <w:bottom w:val="single" w:sz="4" w:space="0" w:color="auto"/>
                    <w:right w:val="single" w:sz="4" w:space="0" w:color="auto"/>
                  </w:tcBorders>
                  <w:shd w:val="clear" w:color="auto" w:fill="FFFFFF"/>
                  <w:vAlign w:val="bottom"/>
                </w:tcPr>
                <w:p w14:paraId="18136C99" w14:textId="77777777" w:rsidR="00E465E2" w:rsidRPr="004E404E" w:rsidRDefault="00E465E2">
                  <w:pPr>
                    <w:jc w:val="center"/>
                    <w:rPr>
                      <w:rFonts w:ascii="Calibri" w:eastAsia="Calibri" w:hAnsi="Calibri" w:cs="Calibri"/>
                      <w:color w:val="002060"/>
                    </w:rPr>
                  </w:pPr>
                  <w:r w:rsidRPr="004E404E">
                    <w:rPr>
                      <w:rFonts w:ascii="Calibri" w:eastAsia="Times New Roman" w:hAnsi="Calibri" w:cs="Calibri"/>
                      <w:color w:val="002060"/>
                    </w:rPr>
                    <w:t>1</w:t>
                  </w:r>
                  <w:r>
                    <w:rPr>
                      <w:rFonts w:ascii="Calibri" w:eastAsia="Times New Roman" w:hAnsi="Calibri" w:cs="Calibri"/>
                      <w:color w:val="002060"/>
                    </w:rPr>
                    <w:t>,</w:t>
                  </w:r>
                  <w:r w:rsidRPr="004E404E">
                    <w:rPr>
                      <w:rFonts w:ascii="Calibri" w:eastAsia="Times New Roman" w:hAnsi="Calibri" w:cs="Calibri"/>
                      <w:color w:val="002060"/>
                    </w:rPr>
                    <w:t>033.</w:t>
                  </w:r>
                  <w:r w:rsidRPr="19A3B8B8">
                    <w:rPr>
                      <w:rFonts w:ascii="Calibri" w:eastAsia="Times New Roman" w:hAnsi="Calibri" w:cs="Calibri"/>
                      <w:color w:val="002060"/>
                    </w:rPr>
                    <w:t>90</w:t>
                  </w:r>
                </w:p>
              </w:tc>
              <w:tc>
                <w:tcPr>
                  <w:tcW w:w="1631" w:type="dxa"/>
                  <w:tcBorders>
                    <w:top w:val="single" w:sz="4" w:space="0" w:color="auto"/>
                    <w:left w:val="nil"/>
                    <w:bottom w:val="single" w:sz="4" w:space="0" w:color="auto"/>
                    <w:right w:val="single" w:sz="4" w:space="0" w:color="auto"/>
                  </w:tcBorders>
                  <w:shd w:val="clear" w:color="auto" w:fill="FFFFFF"/>
                </w:tcPr>
                <w:p w14:paraId="3C39EF7E" w14:textId="77777777" w:rsidR="00E465E2" w:rsidRDefault="00E465E2">
                  <w:pPr>
                    <w:jc w:val="center"/>
                    <w:rPr>
                      <w:rFonts w:ascii="Calibri" w:eastAsia="Times New Roman" w:hAnsi="Calibri" w:cs="Calibri"/>
                      <w:color w:val="002060"/>
                    </w:rPr>
                  </w:pPr>
                  <w:r>
                    <w:rPr>
                      <w:rFonts w:ascii="Calibri" w:eastAsia="Times New Roman" w:hAnsi="Calibri" w:cs="Calibri"/>
                      <w:color w:val="002060"/>
                    </w:rPr>
                    <w:t>1046.73</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15A57A4F" w14:textId="77777777" w:rsidR="00E465E2" w:rsidRPr="004E404E" w:rsidRDefault="00E465E2">
                  <w:pPr>
                    <w:jc w:val="center"/>
                    <w:rPr>
                      <w:rFonts w:ascii="Calibri" w:eastAsia="Calibri" w:hAnsi="Calibri" w:cs="Calibri"/>
                      <w:color w:val="002060"/>
                    </w:rPr>
                  </w:pPr>
                  <w:r>
                    <w:rPr>
                      <w:rFonts w:ascii="Calibri" w:eastAsia="Times New Roman" w:hAnsi="Calibri" w:cs="Calibri"/>
                      <w:color w:val="002060"/>
                    </w:rPr>
                    <w:t>12.83</w:t>
                  </w:r>
                </w:p>
              </w:tc>
            </w:tr>
          </w:tbl>
          <w:p w14:paraId="4AB456C6" w14:textId="77777777" w:rsidR="00E465E2" w:rsidRDefault="00E465E2">
            <w:pPr>
              <w:rPr>
                <w:rFonts w:ascii="Calibri" w:eastAsia="Calibri" w:hAnsi="Calibri" w:cs="Calibri"/>
                <w:color w:val="4472C4"/>
                <w:szCs w:val="24"/>
              </w:rPr>
            </w:pPr>
          </w:p>
          <w:p w14:paraId="3A6E6B41" w14:textId="77777777" w:rsidR="00E465E2" w:rsidRDefault="00E465E2" w:rsidP="00DA615A">
            <w:pPr>
              <w:rPr>
                <w:rFonts w:ascii="Arial" w:eastAsia="Calibri" w:hAnsi="Arial" w:cs="Arial"/>
                <w:color w:val="000000"/>
                <w:szCs w:val="24"/>
              </w:rPr>
            </w:pPr>
            <w:r>
              <w:rPr>
                <w:rFonts w:ascii="Arial" w:eastAsia="Calibri" w:hAnsi="Arial" w:cs="Arial"/>
                <w:color w:val="000000"/>
                <w:szCs w:val="24"/>
              </w:rPr>
              <w:t>There has been some increase in the establishment since April 2022.  This mainly relates to additional funded posts, where we have seen temporary and longer-term investment to increase resource capacity. We have also seen some in-service restructuring which has realigned positions and impacted on FTE.</w:t>
            </w:r>
          </w:p>
          <w:p w14:paraId="13C99A3A" w14:textId="77777777" w:rsidR="0051314E" w:rsidRDefault="0051314E" w:rsidP="00DA615A">
            <w:pPr>
              <w:rPr>
                <w:rFonts w:ascii="Arial" w:eastAsia="Calibri" w:hAnsi="Arial" w:cs="Arial"/>
                <w:color w:val="000000"/>
                <w:szCs w:val="24"/>
              </w:rPr>
            </w:pPr>
          </w:p>
          <w:p w14:paraId="639B9776" w14:textId="77777777" w:rsidR="0051314E" w:rsidRDefault="0051314E" w:rsidP="00DA615A">
            <w:pPr>
              <w:rPr>
                <w:rFonts w:ascii="Arial" w:eastAsia="Calibri" w:hAnsi="Arial" w:cs="Arial"/>
                <w:color w:val="000000"/>
                <w:szCs w:val="24"/>
              </w:rPr>
            </w:pPr>
          </w:p>
          <w:p w14:paraId="3E46F80F" w14:textId="77777777" w:rsidR="0051314E" w:rsidRDefault="0051314E" w:rsidP="00DA615A">
            <w:pPr>
              <w:rPr>
                <w:rFonts w:ascii="Arial" w:eastAsia="Calibri" w:hAnsi="Arial" w:cs="Arial"/>
                <w:color w:val="000000"/>
                <w:szCs w:val="24"/>
              </w:rPr>
            </w:pPr>
          </w:p>
          <w:p w14:paraId="0371C5B9" w14:textId="77777777" w:rsidR="00E465E2" w:rsidRDefault="00E465E2">
            <w:pPr>
              <w:rPr>
                <w:rFonts w:ascii="Arial" w:eastAsia="Calibri" w:hAnsi="Arial" w:cs="Arial"/>
                <w:color w:val="000000"/>
                <w:szCs w:val="24"/>
              </w:rPr>
            </w:pPr>
          </w:p>
        </w:tc>
      </w:tr>
      <w:tr w:rsidR="00E465E2" w14:paraId="35771BB8" w14:textId="77777777" w:rsidTr="00942B84">
        <w:trPr>
          <w:trHeight w:val="528"/>
        </w:trPr>
        <w:tc>
          <w:tcPr>
            <w:tcW w:w="10348" w:type="dxa"/>
            <w:gridSpan w:val="2"/>
            <w:vMerge/>
            <w:shd w:val="clear" w:color="auto" w:fill="auto"/>
          </w:tcPr>
          <w:p w14:paraId="23D174B5" w14:textId="77777777" w:rsidR="00E465E2" w:rsidRDefault="00E465E2">
            <w:pPr>
              <w:jc w:val="center"/>
            </w:pPr>
          </w:p>
        </w:tc>
      </w:tr>
    </w:tbl>
    <w:p w14:paraId="356F4520" w14:textId="77777777" w:rsidR="00E465E2" w:rsidRDefault="00E465E2" w:rsidP="00E465E2">
      <w:pPr>
        <w:spacing w:after="0"/>
        <w:sectPr w:rsidR="00E465E2">
          <w:pgSz w:w="11906" w:h="16838"/>
          <w:pgMar w:top="426" w:right="1440" w:bottom="1276" w:left="1440" w:header="708" w:footer="708" w:gutter="0"/>
          <w:cols w:space="708"/>
          <w:docGrid w:linePitch="360"/>
        </w:sectPr>
      </w:pPr>
    </w:p>
    <w:tbl>
      <w:tblPr>
        <w:tblW w:w="10505" w:type="dxa"/>
        <w:tblInd w:w="-71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0507"/>
      </w:tblGrid>
      <w:tr w:rsidR="00E465E2" w:rsidRPr="00BB7B76" w14:paraId="2273BA80" w14:textId="77777777" w:rsidTr="00510F8B">
        <w:trPr>
          <w:trHeight w:val="337"/>
        </w:trPr>
        <w:tc>
          <w:tcPr>
            <w:tcW w:w="10505" w:type="dxa"/>
            <w:shd w:val="clear" w:color="auto" w:fill="4472C4" w:themeFill="accent1"/>
          </w:tcPr>
          <w:p w14:paraId="08BBA9F4" w14:textId="77777777" w:rsidR="00E465E2" w:rsidRDefault="00E465E2">
            <w:pPr>
              <w:jc w:val="center"/>
              <w:rPr>
                <w:rFonts w:cs="Calibri"/>
                <w:b/>
                <w:color w:val="FFFFFF"/>
                <w:sz w:val="28"/>
                <w:szCs w:val="28"/>
              </w:rPr>
            </w:pPr>
            <w:r>
              <w:lastRenderedPageBreak/>
              <w:br w:type="page"/>
            </w:r>
            <w:r>
              <w:rPr>
                <w:rFonts w:cs="Calibri"/>
                <w:b/>
                <w:color w:val="FFFFFF"/>
                <w:sz w:val="28"/>
                <w:szCs w:val="28"/>
              </w:rPr>
              <w:t>SERVICE OPERATIONS</w:t>
            </w:r>
          </w:p>
        </w:tc>
      </w:tr>
      <w:tr w:rsidR="00E465E2" w14:paraId="0B781EEF" w14:textId="77777777" w:rsidTr="00510F8B">
        <w:trPr>
          <w:trHeight w:val="13869"/>
        </w:trPr>
        <w:tc>
          <w:tcPr>
            <w:tcW w:w="10505" w:type="dxa"/>
            <w:shd w:val="clear" w:color="auto" w:fill="auto"/>
            <w:vAlign w:val="center"/>
          </w:tcPr>
          <w:tbl>
            <w:tblPr>
              <w:tblpPr w:leftFromText="180" w:rightFromText="180" w:vertAnchor="page" w:horzAnchor="margin" w:tblpY="331"/>
              <w:tblOverlap w:val="never"/>
              <w:tblW w:w="10281" w:type="dxa"/>
              <w:tblLook w:val="04A0" w:firstRow="1" w:lastRow="0" w:firstColumn="1" w:lastColumn="0" w:noHBand="0" w:noVBand="1"/>
            </w:tblPr>
            <w:tblGrid>
              <w:gridCol w:w="3071"/>
              <w:gridCol w:w="1108"/>
              <w:gridCol w:w="1108"/>
              <w:gridCol w:w="1108"/>
              <w:gridCol w:w="1108"/>
              <w:gridCol w:w="1385"/>
              <w:gridCol w:w="1393"/>
            </w:tblGrid>
            <w:tr w:rsidR="00E465E2" w:rsidRPr="00C06D82" w14:paraId="5548D173" w14:textId="77777777" w:rsidTr="00510F8B">
              <w:trPr>
                <w:trHeight w:val="554"/>
              </w:trPr>
              <w:tc>
                <w:tcPr>
                  <w:tcW w:w="3071" w:type="dxa"/>
                  <w:tcBorders>
                    <w:top w:val="nil"/>
                    <w:left w:val="single" w:sz="8" w:space="0" w:color="C0C0C0"/>
                    <w:bottom w:val="nil"/>
                    <w:right w:val="nil"/>
                  </w:tcBorders>
                  <w:shd w:val="clear" w:color="auto" w:fill="4472C4"/>
                  <w:hideMark/>
                </w:tcPr>
                <w:p w14:paraId="6D13425F" w14:textId="77777777" w:rsidR="00E465E2" w:rsidRPr="00966B22" w:rsidRDefault="00E465E2">
                  <w:pPr>
                    <w:spacing w:after="0"/>
                    <w:rPr>
                      <w:rFonts w:ascii="Arial" w:eastAsia="Times New Roman" w:hAnsi="Arial" w:cs="Arial"/>
                      <w:b/>
                      <w:color w:val="FFFFFF"/>
                      <w:sz w:val="18"/>
                      <w:szCs w:val="18"/>
                    </w:rPr>
                  </w:pPr>
                  <w:r w:rsidRPr="00966B22">
                    <w:rPr>
                      <w:rFonts w:ascii="Arial" w:eastAsia="Times New Roman" w:hAnsi="Arial" w:cs="Arial"/>
                      <w:b/>
                      <w:color w:val="FFFFFF"/>
                      <w:sz w:val="18"/>
                      <w:szCs w:val="18"/>
                    </w:rPr>
                    <w:t>PI Short Name</w:t>
                  </w:r>
                </w:p>
              </w:tc>
              <w:tc>
                <w:tcPr>
                  <w:tcW w:w="1108" w:type="dxa"/>
                  <w:tcBorders>
                    <w:top w:val="nil"/>
                    <w:left w:val="nil"/>
                    <w:bottom w:val="single" w:sz="8" w:space="0" w:color="C0C0C0"/>
                    <w:right w:val="nil"/>
                  </w:tcBorders>
                  <w:shd w:val="clear" w:color="auto" w:fill="4472C4"/>
                </w:tcPr>
                <w:p w14:paraId="16E6348B" w14:textId="77777777" w:rsidR="00E465E2" w:rsidRPr="00966B22" w:rsidRDefault="00E465E2">
                  <w:pPr>
                    <w:spacing w:after="0"/>
                    <w:jc w:val="right"/>
                    <w:rPr>
                      <w:rFonts w:ascii="Arial" w:eastAsia="Times New Roman" w:hAnsi="Arial" w:cs="Arial"/>
                      <w:b/>
                      <w:color w:val="FFFFFF"/>
                      <w:sz w:val="18"/>
                      <w:szCs w:val="18"/>
                    </w:rPr>
                  </w:pPr>
                  <w:r w:rsidRPr="00966B22">
                    <w:rPr>
                      <w:rFonts w:ascii="Arial" w:eastAsia="Times New Roman" w:hAnsi="Arial" w:cs="Arial"/>
                      <w:b/>
                      <w:color w:val="FFFFFF"/>
                      <w:sz w:val="18"/>
                      <w:szCs w:val="18"/>
                    </w:rPr>
                    <w:t>2019/20</w:t>
                  </w:r>
                </w:p>
              </w:tc>
              <w:tc>
                <w:tcPr>
                  <w:tcW w:w="1108" w:type="dxa"/>
                  <w:tcBorders>
                    <w:top w:val="nil"/>
                    <w:left w:val="nil"/>
                    <w:bottom w:val="single" w:sz="8" w:space="0" w:color="C0C0C0"/>
                    <w:right w:val="nil"/>
                  </w:tcBorders>
                  <w:shd w:val="clear" w:color="auto" w:fill="4472C4"/>
                  <w:hideMark/>
                </w:tcPr>
                <w:p w14:paraId="187A800E" w14:textId="77777777" w:rsidR="00E465E2" w:rsidRPr="00966B22" w:rsidRDefault="00E465E2">
                  <w:pPr>
                    <w:spacing w:after="0"/>
                    <w:jc w:val="right"/>
                    <w:rPr>
                      <w:rFonts w:ascii="Arial" w:eastAsia="Times New Roman" w:hAnsi="Arial" w:cs="Arial"/>
                      <w:b/>
                      <w:color w:val="FFFFFF"/>
                      <w:sz w:val="18"/>
                      <w:szCs w:val="18"/>
                    </w:rPr>
                  </w:pPr>
                  <w:r w:rsidRPr="00966B22">
                    <w:rPr>
                      <w:rFonts w:ascii="Arial" w:eastAsia="Times New Roman" w:hAnsi="Arial" w:cs="Arial"/>
                      <w:b/>
                      <w:color w:val="FFFFFF"/>
                      <w:sz w:val="18"/>
                      <w:szCs w:val="18"/>
                    </w:rPr>
                    <w:t>2020/21</w:t>
                  </w:r>
                </w:p>
              </w:tc>
              <w:tc>
                <w:tcPr>
                  <w:tcW w:w="1108" w:type="dxa"/>
                  <w:tcBorders>
                    <w:top w:val="nil"/>
                    <w:left w:val="nil"/>
                    <w:bottom w:val="single" w:sz="8" w:space="0" w:color="C0C0C0"/>
                    <w:right w:val="nil"/>
                  </w:tcBorders>
                  <w:shd w:val="clear" w:color="auto" w:fill="4472C4"/>
                  <w:hideMark/>
                </w:tcPr>
                <w:p w14:paraId="2E8F5E79" w14:textId="77777777" w:rsidR="00E465E2" w:rsidRPr="00966B22" w:rsidRDefault="00E465E2">
                  <w:pPr>
                    <w:spacing w:after="0"/>
                    <w:jc w:val="right"/>
                    <w:rPr>
                      <w:rFonts w:ascii="Arial" w:eastAsia="Times New Roman" w:hAnsi="Arial" w:cs="Arial"/>
                      <w:b/>
                      <w:color w:val="FFFFFF"/>
                      <w:sz w:val="18"/>
                      <w:szCs w:val="18"/>
                    </w:rPr>
                  </w:pPr>
                  <w:r w:rsidRPr="00966B22">
                    <w:rPr>
                      <w:rFonts w:ascii="Arial" w:eastAsia="Times New Roman" w:hAnsi="Arial" w:cs="Arial"/>
                      <w:b/>
                      <w:color w:val="FFFFFF"/>
                      <w:sz w:val="18"/>
                      <w:szCs w:val="18"/>
                    </w:rPr>
                    <w:t>2021/22</w:t>
                  </w:r>
                </w:p>
              </w:tc>
              <w:tc>
                <w:tcPr>
                  <w:tcW w:w="1108" w:type="dxa"/>
                  <w:tcBorders>
                    <w:top w:val="nil"/>
                    <w:left w:val="nil"/>
                    <w:bottom w:val="single" w:sz="8" w:space="0" w:color="C0C0C0"/>
                    <w:right w:val="nil"/>
                  </w:tcBorders>
                  <w:shd w:val="clear" w:color="auto" w:fill="4472C4"/>
                  <w:hideMark/>
                </w:tcPr>
                <w:p w14:paraId="4D280313" w14:textId="77777777" w:rsidR="00E465E2" w:rsidRPr="00966B22" w:rsidRDefault="00E465E2">
                  <w:pPr>
                    <w:spacing w:after="0"/>
                    <w:jc w:val="right"/>
                    <w:rPr>
                      <w:rFonts w:ascii="Arial" w:eastAsia="Times New Roman" w:hAnsi="Arial" w:cs="Arial"/>
                      <w:b/>
                      <w:color w:val="FFFFFF"/>
                      <w:sz w:val="18"/>
                      <w:szCs w:val="18"/>
                    </w:rPr>
                  </w:pPr>
                  <w:r w:rsidRPr="00966B22">
                    <w:rPr>
                      <w:rFonts w:ascii="Arial" w:eastAsia="Times New Roman" w:hAnsi="Arial" w:cs="Arial"/>
                      <w:b/>
                      <w:color w:val="FFFFFF"/>
                      <w:sz w:val="18"/>
                      <w:szCs w:val="18"/>
                    </w:rPr>
                    <w:t>2022/23</w:t>
                  </w:r>
                </w:p>
              </w:tc>
              <w:tc>
                <w:tcPr>
                  <w:tcW w:w="1385" w:type="dxa"/>
                  <w:tcBorders>
                    <w:top w:val="nil"/>
                    <w:left w:val="nil"/>
                    <w:bottom w:val="single" w:sz="8" w:space="0" w:color="C0C0C0"/>
                    <w:right w:val="nil"/>
                  </w:tcBorders>
                  <w:shd w:val="clear" w:color="auto" w:fill="4472C4"/>
                </w:tcPr>
                <w:p w14:paraId="130AD5CF" w14:textId="77777777" w:rsidR="00E465E2" w:rsidRPr="00966B22" w:rsidRDefault="00E465E2">
                  <w:pPr>
                    <w:spacing w:after="0"/>
                    <w:jc w:val="right"/>
                    <w:rPr>
                      <w:rFonts w:ascii="Arial" w:eastAsia="Times New Roman" w:hAnsi="Arial" w:cs="Arial"/>
                      <w:b/>
                      <w:color w:val="FFFFFF"/>
                      <w:sz w:val="18"/>
                      <w:szCs w:val="18"/>
                    </w:rPr>
                  </w:pPr>
                  <w:r w:rsidRPr="00966B22">
                    <w:rPr>
                      <w:rFonts w:ascii="Arial" w:eastAsia="Times New Roman" w:hAnsi="Arial" w:cs="Arial"/>
                      <w:b/>
                      <w:color w:val="FFFFFF"/>
                      <w:sz w:val="18"/>
                      <w:szCs w:val="18"/>
                    </w:rPr>
                    <w:t>Q1 2023/24</w:t>
                  </w:r>
                </w:p>
              </w:tc>
              <w:tc>
                <w:tcPr>
                  <w:tcW w:w="1393" w:type="dxa"/>
                  <w:tcBorders>
                    <w:top w:val="nil"/>
                    <w:left w:val="nil"/>
                    <w:bottom w:val="single" w:sz="8" w:space="0" w:color="C0C0C0"/>
                    <w:right w:val="nil"/>
                  </w:tcBorders>
                  <w:shd w:val="clear" w:color="auto" w:fill="4472C4"/>
                  <w:hideMark/>
                </w:tcPr>
                <w:p w14:paraId="21B91AE0" w14:textId="77777777" w:rsidR="00E465E2" w:rsidRPr="00966B22" w:rsidRDefault="00E465E2">
                  <w:pPr>
                    <w:spacing w:after="0"/>
                    <w:rPr>
                      <w:rFonts w:ascii="Arial" w:eastAsia="Times New Roman" w:hAnsi="Arial" w:cs="Arial"/>
                      <w:b/>
                      <w:color w:val="FFFFFF"/>
                      <w:sz w:val="18"/>
                      <w:szCs w:val="18"/>
                    </w:rPr>
                  </w:pPr>
                  <w:r w:rsidRPr="00966B22">
                    <w:rPr>
                      <w:rFonts w:ascii="Arial" w:eastAsia="Times New Roman" w:hAnsi="Arial" w:cs="Arial"/>
                      <w:b/>
                      <w:color w:val="FFFFFF"/>
                      <w:sz w:val="18"/>
                      <w:szCs w:val="18"/>
                    </w:rPr>
                    <w:t>Q2 2023/24</w:t>
                  </w:r>
                </w:p>
              </w:tc>
            </w:tr>
            <w:tr w:rsidR="00E465E2" w:rsidRPr="00C06D82" w14:paraId="4527EA18" w14:textId="77777777" w:rsidTr="00510F8B">
              <w:trPr>
                <w:trHeight w:val="554"/>
              </w:trPr>
              <w:tc>
                <w:tcPr>
                  <w:tcW w:w="3071" w:type="dxa"/>
                  <w:tcBorders>
                    <w:top w:val="nil"/>
                    <w:left w:val="single" w:sz="8" w:space="0" w:color="000000"/>
                    <w:bottom w:val="single" w:sz="8" w:space="0" w:color="000000"/>
                    <w:right w:val="single" w:sz="8" w:space="0" w:color="000000"/>
                  </w:tcBorders>
                  <w:shd w:val="clear" w:color="auto" w:fill="auto"/>
                  <w:hideMark/>
                </w:tcPr>
                <w:p w14:paraId="65980CF4" w14:textId="77777777" w:rsidR="00E465E2" w:rsidRPr="00716967" w:rsidRDefault="00E465E2">
                  <w:pPr>
                    <w:spacing w:after="0"/>
                    <w:rPr>
                      <w:rFonts w:ascii="Arial" w:eastAsia="Times New Roman" w:hAnsi="Arial" w:cs="Arial"/>
                      <w:color w:val="1D2828"/>
                      <w:sz w:val="18"/>
                      <w:szCs w:val="18"/>
                    </w:rPr>
                  </w:pPr>
                  <w:r w:rsidRPr="00716967">
                    <w:rPr>
                      <w:rFonts w:ascii="Arial" w:eastAsia="Times New Roman" w:hAnsi="Arial" w:cs="Arial"/>
                      <w:color w:val="1D2828"/>
                      <w:sz w:val="18"/>
                      <w:szCs w:val="18"/>
                    </w:rPr>
                    <w:t xml:space="preserve">Invoices sampled that were paid within 30 days (%) </w:t>
                  </w:r>
                </w:p>
              </w:tc>
              <w:tc>
                <w:tcPr>
                  <w:tcW w:w="1108" w:type="dxa"/>
                  <w:tcBorders>
                    <w:top w:val="nil"/>
                    <w:left w:val="nil"/>
                    <w:bottom w:val="single" w:sz="8" w:space="0" w:color="000000"/>
                    <w:right w:val="single" w:sz="8" w:space="0" w:color="000000"/>
                  </w:tcBorders>
                  <w:shd w:val="clear" w:color="auto" w:fill="auto"/>
                </w:tcPr>
                <w:p w14:paraId="1535E73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96.90%</w:t>
                  </w:r>
                </w:p>
              </w:tc>
              <w:tc>
                <w:tcPr>
                  <w:tcW w:w="1108" w:type="dxa"/>
                  <w:tcBorders>
                    <w:top w:val="nil"/>
                    <w:left w:val="nil"/>
                    <w:bottom w:val="single" w:sz="8" w:space="0" w:color="000000"/>
                    <w:right w:val="single" w:sz="8" w:space="0" w:color="000000"/>
                  </w:tcBorders>
                  <w:shd w:val="clear" w:color="auto" w:fill="auto"/>
                </w:tcPr>
                <w:p w14:paraId="4FF455D7"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94.60%</w:t>
                  </w:r>
                </w:p>
              </w:tc>
              <w:tc>
                <w:tcPr>
                  <w:tcW w:w="1108" w:type="dxa"/>
                  <w:tcBorders>
                    <w:top w:val="nil"/>
                    <w:left w:val="nil"/>
                    <w:bottom w:val="single" w:sz="8" w:space="0" w:color="000000"/>
                    <w:right w:val="single" w:sz="8" w:space="0" w:color="000000"/>
                  </w:tcBorders>
                  <w:shd w:val="clear" w:color="auto" w:fill="auto"/>
                </w:tcPr>
                <w:p w14:paraId="6B8DF4AA"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93.80%</w:t>
                  </w:r>
                </w:p>
              </w:tc>
              <w:tc>
                <w:tcPr>
                  <w:tcW w:w="1108" w:type="dxa"/>
                  <w:tcBorders>
                    <w:top w:val="nil"/>
                    <w:left w:val="nil"/>
                    <w:bottom w:val="single" w:sz="8" w:space="0" w:color="000000"/>
                    <w:right w:val="single" w:sz="8" w:space="0" w:color="000000"/>
                  </w:tcBorders>
                  <w:shd w:val="clear" w:color="auto" w:fill="FFC000"/>
                </w:tcPr>
                <w:p w14:paraId="3FF01C9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92.80%</w:t>
                  </w:r>
                </w:p>
                <w:p w14:paraId="79867A70"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(A)</w:t>
                  </w:r>
                </w:p>
              </w:tc>
              <w:tc>
                <w:tcPr>
                  <w:tcW w:w="1385" w:type="dxa"/>
                  <w:tcBorders>
                    <w:top w:val="nil"/>
                    <w:left w:val="nil"/>
                    <w:bottom w:val="single" w:sz="8" w:space="0" w:color="000000"/>
                    <w:right w:val="single" w:sz="8" w:space="0" w:color="000000"/>
                  </w:tcBorders>
                  <w:shd w:val="clear" w:color="auto" w:fill="auto"/>
                </w:tcPr>
                <w:p w14:paraId="37141EDD"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95.60%</w:t>
                  </w:r>
                </w:p>
              </w:tc>
              <w:tc>
                <w:tcPr>
                  <w:tcW w:w="1393" w:type="dxa"/>
                  <w:tcBorders>
                    <w:top w:val="nil"/>
                    <w:left w:val="nil"/>
                    <w:bottom w:val="single" w:sz="8" w:space="0" w:color="000000"/>
                    <w:right w:val="single" w:sz="8" w:space="0" w:color="000000"/>
                  </w:tcBorders>
                  <w:shd w:val="clear" w:color="auto" w:fill="auto"/>
                </w:tcPr>
                <w:p w14:paraId="19F0C7A6" w14:textId="77777777" w:rsidR="00E465E2" w:rsidRPr="00716967" w:rsidRDefault="00E465E2">
                  <w:pPr>
                    <w:spacing w:after="0"/>
                    <w:jc w:val="right"/>
                    <w:rPr>
                      <w:rFonts w:ascii="Arial" w:eastAsia="Times New Roman" w:hAnsi="Arial" w:cs="Arial"/>
                      <w:color w:val="1D2828"/>
                      <w:sz w:val="18"/>
                      <w:szCs w:val="18"/>
                    </w:rPr>
                  </w:pPr>
                  <w:r w:rsidRPr="00716967">
                    <w:rPr>
                      <w:rFonts w:ascii="Arial" w:eastAsia="Times New Roman" w:hAnsi="Arial" w:cs="Arial"/>
                      <w:color w:val="1D2828"/>
                      <w:sz w:val="18"/>
                      <w:szCs w:val="18"/>
                    </w:rPr>
                    <w:t>97.9%</w:t>
                  </w:r>
                </w:p>
              </w:tc>
            </w:tr>
          </w:tbl>
          <w:p w14:paraId="3C5C9565" w14:textId="77777777" w:rsidR="00E465E2" w:rsidRPr="00C06D82" w:rsidRDefault="00E465E2" w:rsidP="00AC72E3">
            <w:pPr>
              <w:rPr>
                <w:rFonts w:ascii="Arial" w:hAnsi="Arial" w:cs="Arial"/>
                <w:szCs w:val="24"/>
              </w:rPr>
            </w:pPr>
            <w:r w:rsidRPr="00AC72E3">
              <w:rPr>
                <w:rFonts w:ascii="Arial" w:hAnsi="Arial" w:cs="Arial"/>
              </w:rPr>
              <w:t xml:space="preserve">The introduction of a new system, coupled with the challenges posed by the pandemic, resulted in a </w:t>
            </w:r>
            <w:r w:rsidRPr="007B75CF">
              <w:rPr>
                <w:rFonts w:ascii="Arial" w:hAnsi="Arial" w:cs="Arial"/>
                <w:szCs w:val="24"/>
              </w:rPr>
              <w:t>temporary dip in the performance of this indicator in 2022/23.  However, it is encouraging to see a subsequent improvement.</w:t>
            </w:r>
            <w:r>
              <w:rPr>
                <w:rFonts w:ascii="Arial" w:hAnsi="Arial" w:cs="Arial"/>
                <w:szCs w:val="24"/>
              </w:rPr>
              <w:t xml:space="preserve">  </w:t>
            </w:r>
            <w:r w:rsidRPr="00C06D82">
              <w:rPr>
                <w:rFonts w:ascii="Arial" w:hAnsi="Arial" w:cs="Arial"/>
                <w:szCs w:val="24"/>
              </w:rPr>
              <w:t xml:space="preserve">In 2023 new technology known as Intelligent Document Recognition (IDR) was implemented to enhance the invoice payment process.  The automation of part of the manual process within Accounts Payable has resulted in a notable improvement in the efficiency of invoices being paid within 30 days. </w:t>
            </w:r>
            <w:r>
              <w:rPr>
                <w:rFonts w:ascii="Arial" w:hAnsi="Arial" w:cs="Arial"/>
                <w:szCs w:val="24"/>
              </w:rPr>
              <w:t>We aspire to achieve a position in the top quartile once the LGBF indicators are published.</w:t>
            </w:r>
          </w:p>
          <w:p w14:paraId="6302B800" w14:textId="77777777" w:rsidR="00E465E2" w:rsidRPr="00C06D82" w:rsidRDefault="00E465E2">
            <w:pPr>
              <w:spacing w:line="200" w:lineRule="exact"/>
              <w:rPr>
                <w:b/>
                <w:bCs/>
                <w:color w:val="FFFFFF"/>
                <w:sz w:val="28"/>
                <w:szCs w:val="28"/>
              </w:rPr>
            </w:pPr>
          </w:p>
          <w:p w14:paraId="3476B4FC" w14:textId="77777777" w:rsidR="00E465E2" w:rsidRPr="00C06D82" w:rsidRDefault="00E465E2">
            <w:pPr>
              <w:spacing w:line="200" w:lineRule="exact"/>
              <w:rPr>
                <w:b/>
                <w:bCs/>
                <w:color w:val="FFFFFF"/>
                <w:sz w:val="28"/>
                <w:szCs w:val="28"/>
              </w:rPr>
            </w:pPr>
          </w:p>
          <w:p w14:paraId="623E0062" w14:textId="0D9657C4" w:rsidR="005C4203" w:rsidRDefault="005C4203" w:rsidP="00DA615A">
            <w:pPr>
              <w:spacing w:line="200" w:lineRule="exact"/>
              <w:rPr>
                <w:b/>
                <w:bCs/>
                <w:color w:val="FFFFFF"/>
                <w:sz w:val="28"/>
                <w:szCs w:val="28"/>
              </w:rPr>
            </w:pPr>
            <w:r>
              <w:rPr>
                <w:b/>
                <w:bCs/>
                <w:color w:val="FFFFFF"/>
                <w:sz w:val="28"/>
                <w:szCs w:val="28"/>
              </w:rPr>
              <w:t>#</w:t>
            </w:r>
          </w:p>
          <w:p w14:paraId="4B9CEFA8" w14:textId="77777777" w:rsidR="005C4203" w:rsidRDefault="005C4203" w:rsidP="00DA615A">
            <w:pPr>
              <w:spacing w:line="200" w:lineRule="exact"/>
              <w:rPr>
                <w:b/>
                <w:bCs/>
                <w:color w:val="FFFFFF"/>
                <w:sz w:val="28"/>
                <w:szCs w:val="28"/>
              </w:rPr>
            </w:pPr>
          </w:p>
          <w:p w14:paraId="298A064E" w14:textId="77777777" w:rsidR="005C4203" w:rsidRDefault="005C4203" w:rsidP="00DA615A">
            <w:pPr>
              <w:spacing w:line="200" w:lineRule="exact"/>
              <w:rPr>
                <w:b/>
                <w:bCs/>
                <w:color w:val="FFFFFF"/>
                <w:sz w:val="28"/>
                <w:szCs w:val="28"/>
              </w:rPr>
            </w:pPr>
          </w:p>
          <w:p w14:paraId="129A46CD" w14:textId="77777777" w:rsidR="005C4203" w:rsidRDefault="005C4203" w:rsidP="00DA615A">
            <w:pPr>
              <w:spacing w:line="200" w:lineRule="exact"/>
              <w:rPr>
                <w:b/>
                <w:bCs/>
                <w:color w:val="FFFFFF"/>
                <w:sz w:val="28"/>
                <w:szCs w:val="28"/>
              </w:rPr>
            </w:pPr>
          </w:p>
          <w:p w14:paraId="73256597" w14:textId="77777777" w:rsidR="005C4203" w:rsidRDefault="005C4203" w:rsidP="00DA615A">
            <w:pPr>
              <w:spacing w:line="200" w:lineRule="exact"/>
              <w:rPr>
                <w:b/>
                <w:bCs/>
                <w:color w:val="FFFFFF"/>
                <w:sz w:val="28"/>
                <w:szCs w:val="28"/>
              </w:rPr>
            </w:pPr>
          </w:p>
          <w:p w14:paraId="1F2762F5" w14:textId="77777777" w:rsidR="005C4203" w:rsidRDefault="005C4203" w:rsidP="00DA615A">
            <w:pPr>
              <w:spacing w:line="200" w:lineRule="exact"/>
              <w:rPr>
                <w:b/>
                <w:bCs/>
                <w:color w:val="FFFFFF"/>
                <w:sz w:val="28"/>
                <w:szCs w:val="28"/>
              </w:rPr>
            </w:pPr>
          </w:p>
          <w:p w14:paraId="7CA10B7C" w14:textId="77777777" w:rsidR="005C4203" w:rsidRDefault="005C4203" w:rsidP="00DA615A">
            <w:pPr>
              <w:spacing w:line="200" w:lineRule="exact"/>
              <w:rPr>
                <w:b/>
                <w:bCs/>
                <w:color w:val="FFFFFF"/>
                <w:sz w:val="28"/>
                <w:szCs w:val="28"/>
              </w:rPr>
            </w:pPr>
          </w:p>
          <w:p w14:paraId="1A7D6A27" w14:textId="77777777" w:rsidR="005C4203" w:rsidRDefault="005C4203" w:rsidP="00DA615A">
            <w:pPr>
              <w:spacing w:line="200" w:lineRule="exact"/>
              <w:rPr>
                <w:b/>
                <w:bCs/>
                <w:color w:val="FFFFFF"/>
                <w:sz w:val="28"/>
                <w:szCs w:val="28"/>
              </w:rPr>
            </w:pPr>
          </w:p>
          <w:p w14:paraId="2FE16F34" w14:textId="77777777" w:rsidR="005C4203" w:rsidRDefault="005C4203" w:rsidP="00DA615A">
            <w:pPr>
              <w:spacing w:line="200" w:lineRule="exact"/>
              <w:rPr>
                <w:b/>
                <w:bCs/>
                <w:color w:val="FFFFFF"/>
                <w:sz w:val="28"/>
                <w:szCs w:val="28"/>
              </w:rPr>
            </w:pPr>
          </w:p>
          <w:p w14:paraId="57C8CB90" w14:textId="77777777" w:rsidR="005C4203" w:rsidRDefault="005C4203" w:rsidP="00DA615A">
            <w:pPr>
              <w:spacing w:line="200" w:lineRule="exact"/>
              <w:rPr>
                <w:b/>
                <w:bCs/>
                <w:color w:val="FFFFFF"/>
                <w:sz w:val="28"/>
                <w:szCs w:val="28"/>
              </w:rPr>
            </w:pPr>
          </w:p>
          <w:p w14:paraId="369692FD" w14:textId="77777777" w:rsidR="005C4203" w:rsidRDefault="005C4203" w:rsidP="00DA615A">
            <w:pPr>
              <w:spacing w:line="200" w:lineRule="exact"/>
              <w:rPr>
                <w:b/>
                <w:bCs/>
                <w:color w:val="FFFFFF"/>
                <w:sz w:val="28"/>
                <w:szCs w:val="28"/>
              </w:rPr>
            </w:pPr>
          </w:p>
          <w:p w14:paraId="7AF38062" w14:textId="77777777" w:rsidR="005C4203" w:rsidRDefault="005C4203" w:rsidP="00DA615A">
            <w:pPr>
              <w:spacing w:line="200" w:lineRule="exact"/>
              <w:rPr>
                <w:b/>
                <w:bCs/>
                <w:color w:val="FFFFFF"/>
                <w:sz w:val="28"/>
                <w:szCs w:val="28"/>
              </w:rPr>
            </w:pPr>
          </w:p>
          <w:p w14:paraId="5CFB1991" w14:textId="77777777" w:rsidR="005C4203" w:rsidRDefault="005C4203" w:rsidP="00DA615A">
            <w:pPr>
              <w:spacing w:line="200" w:lineRule="exact"/>
              <w:rPr>
                <w:b/>
                <w:bCs/>
                <w:color w:val="FFFFFF"/>
                <w:sz w:val="28"/>
                <w:szCs w:val="28"/>
              </w:rPr>
            </w:pPr>
          </w:p>
          <w:p w14:paraId="24BF420C" w14:textId="77777777" w:rsidR="005C4203" w:rsidRDefault="005C4203" w:rsidP="00DA615A">
            <w:pPr>
              <w:spacing w:line="200" w:lineRule="exact"/>
              <w:rPr>
                <w:b/>
                <w:bCs/>
                <w:color w:val="FFFFFF"/>
                <w:sz w:val="28"/>
                <w:szCs w:val="28"/>
              </w:rPr>
            </w:pPr>
          </w:p>
          <w:p w14:paraId="639CE7FD" w14:textId="77777777" w:rsidR="005C4203" w:rsidRDefault="005C4203" w:rsidP="00DA615A">
            <w:pPr>
              <w:spacing w:line="200" w:lineRule="exact"/>
              <w:rPr>
                <w:b/>
                <w:bCs/>
                <w:color w:val="FFFFFF"/>
                <w:sz w:val="28"/>
                <w:szCs w:val="28"/>
              </w:rPr>
            </w:pPr>
          </w:p>
          <w:p w14:paraId="6D459687" w14:textId="77777777" w:rsidR="005C4203" w:rsidRDefault="005C4203" w:rsidP="00DA615A">
            <w:pPr>
              <w:spacing w:line="200" w:lineRule="exact"/>
              <w:rPr>
                <w:b/>
                <w:bCs/>
                <w:color w:val="FFFFFF"/>
                <w:sz w:val="28"/>
                <w:szCs w:val="28"/>
              </w:rPr>
            </w:pPr>
          </w:p>
          <w:p w14:paraId="7A261963" w14:textId="77777777" w:rsidR="005C4203" w:rsidRDefault="005C4203" w:rsidP="00DA615A">
            <w:pPr>
              <w:spacing w:line="200" w:lineRule="exact"/>
              <w:rPr>
                <w:b/>
                <w:bCs/>
                <w:color w:val="FFFFFF"/>
                <w:sz w:val="28"/>
                <w:szCs w:val="28"/>
              </w:rPr>
            </w:pPr>
          </w:p>
          <w:p w14:paraId="43DFD320" w14:textId="77777777" w:rsidR="005C4203" w:rsidRPr="00C06D82" w:rsidRDefault="005C4203" w:rsidP="00DA615A">
            <w:pPr>
              <w:spacing w:line="200" w:lineRule="exact"/>
              <w:rPr>
                <w:b/>
                <w:bCs/>
                <w:color w:val="FFFFFF"/>
                <w:sz w:val="28"/>
                <w:szCs w:val="28"/>
              </w:rPr>
            </w:pPr>
          </w:p>
          <w:p w14:paraId="490A0355" w14:textId="77777777" w:rsidR="00E465E2" w:rsidRPr="00C06D82" w:rsidRDefault="00E465E2">
            <w:pPr>
              <w:spacing w:line="200" w:lineRule="exact"/>
              <w:rPr>
                <w:b/>
                <w:bCs/>
                <w:color w:val="FFFFFF"/>
                <w:sz w:val="28"/>
                <w:szCs w:val="28"/>
              </w:rPr>
            </w:pPr>
          </w:p>
          <w:p w14:paraId="202EC147" w14:textId="77777777" w:rsidR="00E465E2" w:rsidRPr="00C06D82" w:rsidRDefault="00E465E2">
            <w:pPr>
              <w:spacing w:line="200" w:lineRule="exact"/>
              <w:rPr>
                <w:b/>
                <w:bCs/>
                <w:color w:val="FFFFFF"/>
                <w:sz w:val="28"/>
                <w:szCs w:val="28"/>
              </w:rPr>
            </w:pPr>
          </w:p>
          <w:p w14:paraId="3CB97BC3" w14:textId="77777777" w:rsidR="00E465E2" w:rsidRPr="00C06D82" w:rsidRDefault="00E465E2">
            <w:pPr>
              <w:spacing w:line="200" w:lineRule="exact"/>
              <w:rPr>
                <w:b/>
                <w:bCs/>
                <w:color w:val="FFFFFF"/>
                <w:sz w:val="28"/>
                <w:szCs w:val="28"/>
              </w:rPr>
            </w:pPr>
          </w:p>
          <w:p w14:paraId="7D7B66EC" w14:textId="77777777" w:rsidR="00E465E2" w:rsidRDefault="00E465E2" w:rsidP="00DA615A">
            <w:pPr>
              <w:spacing w:line="200" w:lineRule="exact"/>
              <w:rPr>
                <w:b/>
                <w:bCs/>
                <w:color w:val="FFFFFF"/>
                <w:sz w:val="28"/>
                <w:szCs w:val="28"/>
              </w:rPr>
            </w:pPr>
          </w:p>
          <w:p w14:paraId="1EFE8CC8" w14:textId="77777777" w:rsidR="005C4203" w:rsidRDefault="005C4203" w:rsidP="00DA615A">
            <w:pPr>
              <w:spacing w:line="200" w:lineRule="exact"/>
              <w:rPr>
                <w:b/>
                <w:bCs/>
                <w:color w:val="FFFFFF"/>
                <w:sz w:val="28"/>
                <w:szCs w:val="28"/>
              </w:rPr>
            </w:pPr>
          </w:p>
          <w:p w14:paraId="0A8281CA" w14:textId="77777777" w:rsidR="0006288C" w:rsidRDefault="0006288C" w:rsidP="00DA615A">
            <w:pPr>
              <w:spacing w:line="200" w:lineRule="exact"/>
              <w:rPr>
                <w:b/>
                <w:bCs/>
                <w:color w:val="FFFFFF"/>
                <w:sz w:val="28"/>
                <w:szCs w:val="28"/>
              </w:rPr>
            </w:pPr>
          </w:p>
          <w:p w14:paraId="0DADCA7B" w14:textId="77777777" w:rsidR="0006288C" w:rsidRDefault="0006288C" w:rsidP="00DA615A">
            <w:pPr>
              <w:spacing w:line="200" w:lineRule="exact"/>
              <w:rPr>
                <w:b/>
                <w:bCs/>
                <w:color w:val="FFFFFF"/>
                <w:sz w:val="28"/>
                <w:szCs w:val="28"/>
              </w:rPr>
            </w:pPr>
          </w:p>
          <w:p w14:paraId="0CFD7096" w14:textId="77777777" w:rsidR="0006288C" w:rsidRDefault="0006288C" w:rsidP="00DA615A">
            <w:pPr>
              <w:spacing w:line="200" w:lineRule="exact"/>
              <w:rPr>
                <w:b/>
                <w:bCs/>
                <w:color w:val="FFFFFF"/>
                <w:sz w:val="28"/>
                <w:szCs w:val="28"/>
              </w:rPr>
            </w:pPr>
          </w:p>
          <w:p w14:paraId="4350BD39" w14:textId="77777777" w:rsidR="00E465E2" w:rsidRPr="00C06D82" w:rsidRDefault="00E465E2">
            <w:pPr>
              <w:spacing w:line="200" w:lineRule="exact"/>
              <w:rPr>
                <w:b/>
                <w:bCs/>
                <w:color w:val="FFFFFF"/>
                <w:sz w:val="28"/>
                <w:szCs w:val="28"/>
              </w:rPr>
            </w:pPr>
          </w:p>
        </w:tc>
      </w:tr>
    </w:tbl>
    <w:p w14:paraId="62A72589" w14:textId="77777777" w:rsidR="003928E2" w:rsidRDefault="003928E2" w:rsidP="0006288C">
      <w:pPr>
        <w:spacing w:before="0" w:after="0"/>
      </w:pPr>
    </w:p>
    <w:sectPr w:rsidR="003928E2">
      <w:footerReference w:type="default" r:id="rId16"/>
      <w:pgSz w:w="11906" w:h="16838" w:code="9"/>
      <w:pgMar w:top="425"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C995" w14:textId="77777777" w:rsidR="00710EB9" w:rsidRDefault="00710EB9">
      <w:pPr>
        <w:spacing w:before="0" w:after="0"/>
      </w:pPr>
      <w:r>
        <w:separator/>
      </w:r>
    </w:p>
  </w:endnote>
  <w:endnote w:type="continuationSeparator" w:id="0">
    <w:p w14:paraId="6623B6D6" w14:textId="77777777" w:rsidR="00710EB9" w:rsidRDefault="00710EB9">
      <w:pPr>
        <w:spacing w:before="0" w:after="0"/>
      </w:pPr>
      <w:r>
        <w:continuationSeparator/>
      </w:r>
    </w:p>
  </w:endnote>
  <w:endnote w:type="continuationNotice" w:id="1">
    <w:p w14:paraId="7FB59FAD" w14:textId="77777777" w:rsidR="00710EB9" w:rsidRDefault="00710E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826E" w14:textId="77777777" w:rsidR="00E465E2" w:rsidRDefault="00E465E2">
    <w:pPr>
      <w:pStyle w:val="Footer"/>
      <w:jc w:val="right"/>
    </w:pPr>
    <w:r>
      <w:fldChar w:fldCharType="begin"/>
    </w:r>
    <w:r>
      <w:instrText xml:space="preserve"> PAGE   \* MERGEFORMAT </w:instrText>
    </w:r>
    <w:r>
      <w:fldChar w:fldCharType="separate"/>
    </w:r>
    <w:r>
      <w:rPr>
        <w:noProof/>
      </w:rPr>
      <w:t>2</w:t>
    </w:r>
    <w:r>
      <w:rPr>
        <w:noProof/>
      </w:rPr>
      <w:fldChar w:fldCharType="end"/>
    </w:r>
  </w:p>
  <w:p w14:paraId="11A78E61" w14:textId="77777777" w:rsidR="00E465E2" w:rsidRDefault="00E4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B2C6" w14:textId="77777777" w:rsidR="00CE0ECF" w:rsidRDefault="00CE0ECF">
    <w:pPr>
      <w:pStyle w:val="Footer"/>
      <w:jc w:val="right"/>
    </w:pPr>
    <w:r>
      <w:fldChar w:fldCharType="begin"/>
    </w:r>
    <w:r>
      <w:instrText xml:space="preserve"> PAGE   \* MERGEFORMAT </w:instrText>
    </w:r>
    <w:r>
      <w:fldChar w:fldCharType="separate"/>
    </w:r>
    <w:r>
      <w:rPr>
        <w:noProof/>
      </w:rPr>
      <w:t>2</w:t>
    </w:r>
    <w:r>
      <w:rPr>
        <w:noProof/>
      </w:rPr>
      <w:fldChar w:fldCharType="end"/>
    </w:r>
  </w:p>
  <w:p w14:paraId="09673D42" w14:textId="77777777" w:rsidR="00CE0ECF" w:rsidRDefault="00CE0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28E6" w14:textId="77777777" w:rsidR="00710EB9" w:rsidRDefault="00710EB9">
      <w:pPr>
        <w:spacing w:before="0" w:after="0"/>
      </w:pPr>
      <w:r>
        <w:separator/>
      </w:r>
    </w:p>
  </w:footnote>
  <w:footnote w:type="continuationSeparator" w:id="0">
    <w:p w14:paraId="47F43C9E" w14:textId="77777777" w:rsidR="00710EB9" w:rsidRDefault="00710EB9">
      <w:pPr>
        <w:spacing w:before="0" w:after="0"/>
      </w:pPr>
      <w:r>
        <w:continuationSeparator/>
      </w:r>
    </w:p>
  </w:footnote>
  <w:footnote w:type="continuationNotice" w:id="1">
    <w:p w14:paraId="788AC4C6" w14:textId="77777777" w:rsidR="00710EB9" w:rsidRDefault="00710EB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450"/>
    <w:multiLevelType w:val="multilevel"/>
    <w:tmpl w:val="33F22E5E"/>
    <w:lvl w:ilvl="0">
      <w:start w:val="2"/>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365A12"/>
    <w:multiLevelType w:val="multilevel"/>
    <w:tmpl w:val="55AAB4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Para2"/>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7F1E61"/>
    <w:multiLevelType w:val="hybridMultilevel"/>
    <w:tmpl w:val="9BF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FC0888"/>
    <w:multiLevelType w:val="hybridMultilevel"/>
    <w:tmpl w:val="A41C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C52BB"/>
    <w:multiLevelType w:val="hybridMultilevel"/>
    <w:tmpl w:val="2DD8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27C5D"/>
    <w:multiLevelType w:val="hybridMultilevel"/>
    <w:tmpl w:val="7952BD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54075523">
    <w:abstractNumId w:val="1"/>
  </w:num>
  <w:num w:numId="2" w16cid:durableId="1072385718">
    <w:abstractNumId w:val="4"/>
  </w:num>
  <w:num w:numId="3" w16cid:durableId="702829902">
    <w:abstractNumId w:val="5"/>
  </w:num>
  <w:num w:numId="4" w16cid:durableId="1673796515">
    <w:abstractNumId w:val="3"/>
  </w:num>
  <w:num w:numId="5" w16cid:durableId="269509772">
    <w:abstractNumId w:val="0"/>
  </w:num>
  <w:num w:numId="6" w16cid:durableId="521478705">
    <w:abstractNumId w:val="7"/>
  </w:num>
  <w:num w:numId="7" w16cid:durableId="1223176662">
    <w:abstractNumId w:val="2"/>
  </w:num>
  <w:num w:numId="8" w16cid:durableId="279923432">
    <w:abstractNumId w:val="6"/>
  </w:num>
  <w:num w:numId="9" w16cid:durableId="280384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E2"/>
    <w:rsid w:val="000063B2"/>
    <w:rsid w:val="00015558"/>
    <w:rsid w:val="00024001"/>
    <w:rsid w:val="000473B4"/>
    <w:rsid w:val="0006288C"/>
    <w:rsid w:val="000B1479"/>
    <w:rsid w:val="000D391F"/>
    <w:rsid w:val="000E3484"/>
    <w:rsid w:val="000E4D93"/>
    <w:rsid w:val="000F3F00"/>
    <w:rsid w:val="001067A2"/>
    <w:rsid w:val="00106FB9"/>
    <w:rsid w:val="00127605"/>
    <w:rsid w:val="001551C4"/>
    <w:rsid w:val="00176EF3"/>
    <w:rsid w:val="00193C2E"/>
    <w:rsid w:val="001971CB"/>
    <w:rsid w:val="001C6DCE"/>
    <w:rsid w:val="001D09CA"/>
    <w:rsid w:val="001E393D"/>
    <w:rsid w:val="0020517A"/>
    <w:rsid w:val="00222200"/>
    <w:rsid w:val="00227FAD"/>
    <w:rsid w:val="002E5E21"/>
    <w:rsid w:val="002F419D"/>
    <w:rsid w:val="003106FC"/>
    <w:rsid w:val="00313963"/>
    <w:rsid w:val="00322FDB"/>
    <w:rsid w:val="00327AD4"/>
    <w:rsid w:val="00335287"/>
    <w:rsid w:val="00340657"/>
    <w:rsid w:val="003413E5"/>
    <w:rsid w:val="00346DB7"/>
    <w:rsid w:val="003928E2"/>
    <w:rsid w:val="0044030C"/>
    <w:rsid w:val="004E1324"/>
    <w:rsid w:val="004F0334"/>
    <w:rsid w:val="00510F8B"/>
    <w:rsid w:val="0051314E"/>
    <w:rsid w:val="005428AB"/>
    <w:rsid w:val="005853A8"/>
    <w:rsid w:val="00596842"/>
    <w:rsid w:val="005A3D68"/>
    <w:rsid w:val="005C4203"/>
    <w:rsid w:val="005D7F47"/>
    <w:rsid w:val="005E51E5"/>
    <w:rsid w:val="005E5356"/>
    <w:rsid w:val="005E646D"/>
    <w:rsid w:val="005F3C04"/>
    <w:rsid w:val="00600FD8"/>
    <w:rsid w:val="00615D11"/>
    <w:rsid w:val="0063252D"/>
    <w:rsid w:val="0063402F"/>
    <w:rsid w:val="00671332"/>
    <w:rsid w:val="00692166"/>
    <w:rsid w:val="006A5AC9"/>
    <w:rsid w:val="0070383F"/>
    <w:rsid w:val="00710EB9"/>
    <w:rsid w:val="00716967"/>
    <w:rsid w:val="00725EA8"/>
    <w:rsid w:val="00731163"/>
    <w:rsid w:val="00773093"/>
    <w:rsid w:val="00777749"/>
    <w:rsid w:val="007A2DE2"/>
    <w:rsid w:val="007F6C51"/>
    <w:rsid w:val="00805FBC"/>
    <w:rsid w:val="008D4703"/>
    <w:rsid w:val="008F49E6"/>
    <w:rsid w:val="0090643F"/>
    <w:rsid w:val="00942736"/>
    <w:rsid w:val="00942B84"/>
    <w:rsid w:val="00954CDE"/>
    <w:rsid w:val="00966B22"/>
    <w:rsid w:val="009A4639"/>
    <w:rsid w:val="009B5ABD"/>
    <w:rsid w:val="009B5FA4"/>
    <w:rsid w:val="009E4E48"/>
    <w:rsid w:val="00A07022"/>
    <w:rsid w:val="00A2392B"/>
    <w:rsid w:val="00A76634"/>
    <w:rsid w:val="00AC72E3"/>
    <w:rsid w:val="00AD03DB"/>
    <w:rsid w:val="00B02E3D"/>
    <w:rsid w:val="00B675E4"/>
    <w:rsid w:val="00C04C74"/>
    <w:rsid w:val="00C43EC3"/>
    <w:rsid w:val="00C81032"/>
    <w:rsid w:val="00CB2426"/>
    <w:rsid w:val="00CB28BD"/>
    <w:rsid w:val="00CD5B84"/>
    <w:rsid w:val="00CE0ECF"/>
    <w:rsid w:val="00CE31A6"/>
    <w:rsid w:val="00D1553B"/>
    <w:rsid w:val="00D56D5B"/>
    <w:rsid w:val="00D57EE2"/>
    <w:rsid w:val="00DA10D0"/>
    <w:rsid w:val="00DA615A"/>
    <w:rsid w:val="00DC0ED7"/>
    <w:rsid w:val="00DC3EF6"/>
    <w:rsid w:val="00DD55C4"/>
    <w:rsid w:val="00DE3980"/>
    <w:rsid w:val="00DE5336"/>
    <w:rsid w:val="00E367A0"/>
    <w:rsid w:val="00E443F2"/>
    <w:rsid w:val="00E460DA"/>
    <w:rsid w:val="00E465E2"/>
    <w:rsid w:val="00E856E5"/>
    <w:rsid w:val="00EF315E"/>
    <w:rsid w:val="00F00E02"/>
    <w:rsid w:val="00F25ECA"/>
    <w:rsid w:val="00F337E4"/>
    <w:rsid w:val="00FA112C"/>
    <w:rsid w:val="00FB308F"/>
    <w:rsid w:val="00FB376E"/>
    <w:rsid w:val="00FC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7DE8B"/>
  <w15:chartTrackingRefBased/>
  <w15:docId w15:val="{3E1D03D8-6094-4952-8E36-6E99BD57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E2"/>
    <w:pPr>
      <w:spacing w:before="120" w:after="120" w:line="240" w:lineRule="auto"/>
    </w:pPr>
    <w:rPr>
      <w:rFonts w:ascii="Helvetica" w:eastAsia="Times" w:hAnsi="Helvetica" w:cs="Times New Roman"/>
      <w:kern w:val="0"/>
      <w:sz w:val="24"/>
      <w:szCs w:val="20"/>
      <w:lang w:eastAsia="en-GB"/>
      <w14:ligatures w14:val="none"/>
    </w:rPr>
  </w:style>
  <w:style w:type="paragraph" w:styleId="Heading2">
    <w:name w:val="heading 2"/>
    <w:basedOn w:val="Normal"/>
    <w:next w:val="Normal"/>
    <w:link w:val="Heading2Char"/>
    <w:qFormat/>
    <w:rsid w:val="00E465E2"/>
    <w:pPr>
      <w:keepNext/>
      <w:pBdr>
        <w:bottom w:val="single" w:sz="8" w:space="4" w:color="00424F"/>
      </w:pBdr>
      <w:tabs>
        <w:tab w:val="left" w:pos="0"/>
      </w:tabs>
      <w:spacing w:before="360" w:after="240"/>
      <w:outlineLvl w:val="1"/>
    </w:pPr>
    <w:rPr>
      <w:rFonts w:eastAsia="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65E2"/>
    <w:rPr>
      <w:rFonts w:ascii="Helvetica" w:eastAsia="Times New Roman" w:hAnsi="Helvetica" w:cs="Times New Roman"/>
      <w:b/>
      <w:kern w:val="0"/>
      <w:sz w:val="36"/>
      <w:szCs w:val="20"/>
      <w:lang w:eastAsia="en-GB"/>
      <w14:ligatures w14:val="none"/>
    </w:rPr>
  </w:style>
  <w:style w:type="paragraph" w:customStyle="1" w:styleId="summarydetails">
    <w:name w:val="summary details"/>
    <w:basedOn w:val="Normal"/>
    <w:qFormat/>
    <w:rsid w:val="00E465E2"/>
    <w:pPr>
      <w:spacing w:before="60" w:after="60"/>
      <w:ind w:left="720"/>
    </w:pPr>
  </w:style>
  <w:style w:type="paragraph" w:customStyle="1" w:styleId="overviewheading">
    <w:name w:val="overview heading"/>
    <w:basedOn w:val="Normal"/>
    <w:qFormat/>
    <w:rsid w:val="00E465E2"/>
    <w:pPr>
      <w:pBdr>
        <w:bottom w:val="single" w:sz="4" w:space="4" w:color="auto"/>
      </w:pBdr>
      <w:spacing w:after="60"/>
    </w:pPr>
    <w:rPr>
      <w:b/>
    </w:rPr>
  </w:style>
  <w:style w:type="paragraph" w:customStyle="1" w:styleId="Para2">
    <w:name w:val="Para2"/>
    <w:basedOn w:val="Normal"/>
    <w:link w:val="Para2Char"/>
    <w:autoRedefine/>
    <w:rsid w:val="00E465E2"/>
    <w:pPr>
      <w:numPr>
        <w:ilvl w:val="2"/>
        <w:numId w:val="1"/>
      </w:numPr>
    </w:pPr>
  </w:style>
  <w:style w:type="paragraph" w:customStyle="1" w:styleId="NumberedList2">
    <w:name w:val="Numbered List2"/>
    <w:basedOn w:val="Normal"/>
    <w:autoRedefine/>
    <w:rsid w:val="00E465E2"/>
  </w:style>
  <w:style w:type="paragraph" w:customStyle="1" w:styleId="BulletList">
    <w:name w:val="Bullet List"/>
    <w:basedOn w:val="Normal"/>
    <w:autoRedefine/>
    <w:rsid w:val="00E465E2"/>
    <w:pPr>
      <w:spacing w:before="0" w:after="0"/>
    </w:pPr>
    <w:rPr>
      <w:rFonts w:ascii="Arial" w:hAnsi="Arial" w:cs="Arial"/>
      <w:b/>
      <w:bCs/>
      <w:noProof/>
    </w:rPr>
  </w:style>
  <w:style w:type="character" w:customStyle="1" w:styleId="Para2Char">
    <w:name w:val="Para2 Char"/>
    <w:link w:val="Para2"/>
    <w:rsid w:val="00E465E2"/>
    <w:rPr>
      <w:rFonts w:ascii="Helvetica" w:eastAsia="Times" w:hAnsi="Helvetica" w:cs="Times New Roman"/>
      <w:kern w:val="0"/>
      <w:sz w:val="24"/>
      <w:szCs w:val="20"/>
      <w:lang w:eastAsia="en-GB"/>
      <w14:ligatures w14:val="none"/>
    </w:rPr>
  </w:style>
  <w:style w:type="character" w:styleId="Hyperlink">
    <w:name w:val="Hyperlink"/>
    <w:rsid w:val="00E465E2"/>
    <w:rPr>
      <w:color w:val="0000FF"/>
      <w:u w:val="single"/>
    </w:rPr>
  </w:style>
  <w:style w:type="paragraph" w:customStyle="1" w:styleId="NumberedList3">
    <w:name w:val="Numbered List3"/>
    <w:basedOn w:val="Normal"/>
    <w:autoRedefine/>
    <w:rsid w:val="00E465E2"/>
    <w:rPr>
      <w:rFonts w:ascii="Arial" w:hAnsi="Arial" w:cs="Arial"/>
      <w:szCs w:val="24"/>
      <w:shd w:val="clear" w:color="auto" w:fill="FFFFFF"/>
    </w:rPr>
  </w:style>
  <w:style w:type="paragraph" w:styleId="ListParagraph">
    <w:name w:val="List Paragraph"/>
    <w:basedOn w:val="Normal"/>
    <w:uiPriority w:val="34"/>
    <w:qFormat/>
    <w:rsid w:val="00E465E2"/>
    <w:pPr>
      <w:spacing w:before="0" w:after="0"/>
      <w:ind w:left="720"/>
    </w:pPr>
    <w:rPr>
      <w:rFonts w:ascii="Calibri" w:eastAsia="Calibri" w:hAnsi="Calibri"/>
      <w:sz w:val="22"/>
      <w:szCs w:val="22"/>
      <w:lang w:eastAsia="en-US"/>
    </w:rPr>
  </w:style>
  <w:style w:type="character" w:styleId="CommentReference">
    <w:name w:val="annotation reference"/>
    <w:uiPriority w:val="99"/>
    <w:rsid w:val="00E465E2"/>
    <w:rPr>
      <w:sz w:val="16"/>
      <w:szCs w:val="16"/>
    </w:rPr>
  </w:style>
  <w:style w:type="paragraph" w:styleId="CommentText">
    <w:name w:val="annotation text"/>
    <w:basedOn w:val="Normal"/>
    <w:link w:val="CommentTextChar"/>
    <w:uiPriority w:val="99"/>
    <w:rsid w:val="00E465E2"/>
    <w:rPr>
      <w:sz w:val="20"/>
    </w:rPr>
  </w:style>
  <w:style w:type="character" w:customStyle="1" w:styleId="CommentTextChar">
    <w:name w:val="Comment Text Char"/>
    <w:basedOn w:val="DefaultParagraphFont"/>
    <w:link w:val="CommentText"/>
    <w:uiPriority w:val="99"/>
    <w:rsid w:val="00E465E2"/>
    <w:rPr>
      <w:rFonts w:ascii="Helvetica" w:eastAsia="Times" w:hAnsi="Helvetica" w:cs="Times New Roman"/>
      <w:kern w:val="0"/>
      <w:sz w:val="20"/>
      <w:szCs w:val="20"/>
      <w:lang w:eastAsia="en-GB"/>
      <w14:ligatures w14:val="none"/>
    </w:rPr>
  </w:style>
  <w:style w:type="paragraph" w:styleId="Footer">
    <w:name w:val="footer"/>
    <w:basedOn w:val="Normal"/>
    <w:link w:val="FooterChar"/>
    <w:uiPriority w:val="99"/>
    <w:rsid w:val="00E465E2"/>
    <w:pPr>
      <w:tabs>
        <w:tab w:val="center" w:pos="4513"/>
        <w:tab w:val="right" w:pos="9026"/>
      </w:tabs>
    </w:pPr>
  </w:style>
  <w:style w:type="character" w:customStyle="1" w:styleId="FooterChar">
    <w:name w:val="Footer Char"/>
    <w:basedOn w:val="DefaultParagraphFont"/>
    <w:link w:val="Footer"/>
    <w:uiPriority w:val="99"/>
    <w:rsid w:val="00E465E2"/>
    <w:rPr>
      <w:rFonts w:ascii="Helvetica" w:eastAsia="Times" w:hAnsi="Helvetica" w:cs="Times New Roman"/>
      <w:kern w:val="0"/>
      <w:sz w:val="24"/>
      <w:szCs w:val="20"/>
      <w:lang w:eastAsia="en-GB"/>
      <w14:ligatures w14:val="none"/>
    </w:rPr>
  </w:style>
  <w:style w:type="paragraph" w:customStyle="1" w:styleId="Default">
    <w:name w:val="Default"/>
    <w:rsid w:val="00E465E2"/>
    <w:pPr>
      <w:autoSpaceDE w:val="0"/>
      <w:autoSpaceDN w:val="0"/>
      <w:adjustRightInd w:val="0"/>
      <w:spacing w:after="0" w:line="240" w:lineRule="auto"/>
    </w:pPr>
    <w:rPr>
      <w:rFonts w:ascii="Arial" w:eastAsia="Times" w:hAnsi="Arial" w:cs="Arial"/>
      <w:color w:val="000000"/>
      <w:kern w:val="0"/>
      <w:sz w:val="24"/>
      <w:szCs w:val="24"/>
      <w:lang w:eastAsia="en-GB"/>
      <w14:ligatures w14:val="none"/>
    </w:rPr>
  </w:style>
  <w:style w:type="paragraph" w:customStyle="1" w:styleId="paragraph">
    <w:name w:val="paragraph"/>
    <w:basedOn w:val="Normal"/>
    <w:rsid w:val="00E465E2"/>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E465E2"/>
  </w:style>
  <w:style w:type="character" w:customStyle="1" w:styleId="eop">
    <w:name w:val="eop"/>
    <w:basedOn w:val="DefaultParagraphFont"/>
    <w:rsid w:val="00E465E2"/>
  </w:style>
  <w:style w:type="character" w:styleId="Mention">
    <w:name w:val="Mention"/>
    <w:uiPriority w:val="99"/>
    <w:unhideWhenUsed/>
    <w:rsid w:val="00E465E2"/>
    <w:rPr>
      <w:color w:val="2B579A"/>
      <w:shd w:val="clear" w:color="auto" w:fill="E1DFDD"/>
    </w:rPr>
  </w:style>
  <w:style w:type="paragraph" w:styleId="Header">
    <w:name w:val="header"/>
    <w:basedOn w:val="Normal"/>
    <w:link w:val="HeaderChar"/>
    <w:uiPriority w:val="99"/>
    <w:semiHidden/>
    <w:unhideWhenUsed/>
    <w:rsid w:val="001067A2"/>
    <w:pPr>
      <w:tabs>
        <w:tab w:val="center" w:pos="4513"/>
        <w:tab w:val="right" w:pos="9026"/>
      </w:tabs>
      <w:spacing w:before="0" w:after="0"/>
    </w:pPr>
  </w:style>
  <w:style w:type="character" w:customStyle="1" w:styleId="HeaderChar">
    <w:name w:val="Header Char"/>
    <w:basedOn w:val="DefaultParagraphFont"/>
    <w:link w:val="Header"/>
    <w:uiPriority w:val="99"/>
    <w:semiHidden/>
    <w:rsid w:val="001067A2"/>
    <w:rPr>
      <w:rFonts w:ascii="Helvetica" w:eastAsia="Times" w:hAnsi="Helvetica"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B3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leen.Rowand@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dit-scotland.gov.uk/uploads/docs/um/spi_direction_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fifecloud.sharepoint.com/sites/PandITeam/Shared%20Documents/General/Scrutiny%20Committees/2022%20-%202023%20Information/2022-23%20charts%20&amp;%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How we compare with other Councils (LGBF)</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'[2022-23 charts &amp; tables.xlsx]Tables &amp; charts'!$J$255</c:f>
              <c:strCache>
                <c:ptCount val="1"/>
                <c:pt idx="0">
                  <c:v>Top Quartile</c:v>
                </c:pt>
              </c:strCache>
            </c:strRef>
          </c:tx>
          <c:spPr>
            <a:pattFill prst="wdDnDiag">
              <a:fgClr>
                <a:srgbClr val="00B050"/>
              </a:fgClr>
              <a:bgClr>
                <a:schemeClr val="bg1"/>
              </a:bgClr>
            </a:pattFill>
            <a:ln w="19050">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charts &amp; tables.xlsx]Tables &amp; charts'!$K$254:$N$254</c:f>
              <c:strCache>
                <c:ptCount val="4"/>
                <c:pt idx="0">
                  <c:v>2018/19</c:v>
                </c:pt>
                <c:pt idx="1">
                  <c:v>2019/20</c:v>
                </c:pt>
                <c:pt idx="2">
                  <c:v>2020/21</c:v>
                </c:pt>
                <c:pt idx="3">
                  <c:v>2021/22</c:v>
                </c:pt>
              </c:strCache>
            </c:strRef>
          </c:cat>
          <c:val>
            <c:numRef>
              <c:f>'[2022-23 charts &amp; tables.xlsx]Tables &amp; charts'!$K$255:$N$255</c:f>
              <c:numCache>
                <c:formatCode>General</c:formatCode>
                <c:ptCount val="4"/>
                <c:pt idx="0">
                  <c:v>2</c:v>
                </c:pt>
                <c:pt idx="1">
                  <c:v>1</c:v>
                </c:pt>
                <c:pt idx="2">
                  <c:v>2</c:v>
                </c:pt>
                <c:pt idx="3">
                  <c:v>1</c:v>
                </c:pt>
              </c:numCache>
            </c:numRef>
          </c:val>
          <c:extLst>
            <c:ext xmlns:c16="http://schemas.microsoft.com/office/drawing/2014/chart" uri="{C3380CC4-5D6E-409C-BE32-E72D297353CC}">
              <c16:uniqueId val="{00000000-633C-4A1A-8547-5C72821B52A2}"/>
            </c:ext>
          </c:extLst>
        </c:ser>
        <c:ser>
          <c:idx val="1"/>
          <c:order val="1"/>
          <c:tx>
            <c:strRef>
              <c:f>'[2022-23 charts &amp; tables.xlsx]Tables &amp; charts'!$J$256</c:f>
              <c:strCache>
                <c:ptCount val="1"/>
                <c:pt idx="0">
                  <c:v>2nd quartile</c:v>
                </c:pt>
              </c:strCache>
            </c:strRef>
          </c:tx>
          <c:spPr>
            <a:pattFill prst="pct20">
              <a:fgClr>
                <a:srgbClr val="00B0F0"/>
              </a:fgClr>
              <a:bgClr>
                <a:schemeClr val="bg1"/>
              </a:bgClr>
            </a:pattFill>
            <a:ln w="19050">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charts &amp; tables.xlsx]Tables &amp; charts'!$K$254:$N$254</c:f>
              <c:strCache>
                <c:ptCount val="4"/>
                <c:pt idx="0">
                  <c:v>2018/19</c:v>
                </c:pt>
                <c:pt idx="1">
                  <c:v>2019/20</c:v>
                </c:pt>
                <c:pt idx="2">
                  <c:v>2020/21</c:v>
                </c:pt>
                <c:pt idx="3">
                  <c:v>2021/22</c:v>
                </c:pt>
              </c:strCache>
            </c:strRef>
          </c:cat>
          <c:val>
            <c:numRef>
              <c:f>'[2022-23 charts &amp; tables.xlsx]Tables &amp; charts'!$K$256:$N$256</c:f>
              <c:numCache>
                <c:formatCode>General</c:formatCode>
                <c:ptCount val="4"/>
                <c:pt idx="0">
                  <c:v>3</c:v>
                </c:pt>
                <c:pt idx="1">
                  <c:v>4</c:v>
                </c:pt>
                <c:pt idx="2">
                  <c:v>2</c:v>
                </c:pt>
                <c:pt idx="3">
                  <c:v>4</c:v>
                </c:pt>
              </c:numCache>
            </c:numRef>
          </c:val>
          <c:extLst>
            <c:ext xmlns:c16="http://schemas.microsoft.com/office/drawing/2014/chart" uri="{C3380CC4-5D6E-409C-BE32-E72D297353CC}">
              <c16:uniqueId val="{00000001-633C-4A1A-8547-5C72821B52A2}"/>
            </c:ext>
          </c:extLst>
        </c:ser>
        <c:ser>
          <c:idx val="2"/>
          <c:order val="2"/>
          <c:tx>
            <c:strRef>
              <c:f>'[2022-23 charts &amp; tables.xlsx]Tables &amp; charts'!$J$257</c:f>
              <c:strCache>
                <c:ptCount val="1"/>
                <c:pt idx="0">
                  <c:v>3rd quartile</c:v>
                </c:pt>
              </c:strCache>
            </c:strRef>
          </c:tx>
          <c:spPr>
            <a:pattFill prst="dkHorz">
              <a:fgClr>
                <a:schemeClr val="tx1"/>
              </a:fgClr>
              <a:bgClr>
                <a:schemeClr val="bg1"/>
              </a:bgClr>
            </a:pattFill>
            <a:ln w="190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charts &amp; tables.xlsx]Tables &amp; charts'!$K$254:$N$254</c:f>
              <c:strCache>
                <c:ptCount val="4"/>
                <c:pt idx="0">
                  <c:v>2018/19</c:v>
                </c:pt>
                <c:pt idx="1">
                  <c:v>2019/20</c:v>
                </c:pt>
                <c:pt idx="2">
                  <c:v>2020/21</c:v>
                </c:pt>
                <c:pt idx="3">
                  <c:v>2021/22</c:v>
                </c:pt>
              </c:strCache>
            </c:strRef>
          </c:cat>
          <c:val>
            <c:numRef>
              <c:f>'[2022-23 charts &amp; tables.xlsx]Tables &amp; charts'!$K$257:$N$257</c:f>
              <c:numCache>
                <c:formatCode>General</c:formatCode>
                <c:ptCount val="4"/>
                <c:pt idx="0">
                  <c:v>1</c:v>
                </c:pt>
                <c:pt idx="1">
                  <c:v>2</c:v>
                </c:pt>
                <c:pt idx="2">
                  <c:v>4</c:v>
                </c:pt>
                <c:pt idx="3">
                  <c:v>3</c:v>
                </c:pt>
              </c:numCache>
            </c:numRef>
          </c:val>
          <c:extLst>
            <c:ext xmlns:c16="http://schemas.microsoft.com/office/drawing/2014/chart" uri="{C3380CC4-5D6E-409C-BE32-E72D297353CC}">
              <c16:uniqueId val="{00000002-633C-4A1A-8547-5C72821B52A2}"/>
            </c:ext>
          </c:extLst>
        </c:ser>
        <c:ser>
          <c:idx val="3"/>
          <c:order val="3"/>
          <c:tx>
            <c:strRef>
              <c:f>'[2022-23 charts &amp; tables.xlsx]Tables &amp; charts'!$J$258</c:f>
              <c:strCache>
                <c:ptCount val="1"/>
                <c:pt idx="0">
                  <c:v>Bottom Quartile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charts &amp; tables.xlsx]Tables &amp; charts'!$K$254:$N$254</c:f>
              <c:strCache>
                <c:ptCount val="4"/>
                <c:pt idx="0">
                  <c:v>2018/19</c:v>
                </c:pt>
                <c:pt idx="1">
                  <c:v>2019/20</c:v>
                </c:pt>
                <c:pt idx="2">
                  <c:v>2020/21</c:v>
                </c:pt>
                <c:pt idx="3">
                  <c:v>2021/22</c:v>
                </c:pt>
              </c:strCache>
            </c:strRef>
          </c:cat>
          <c:val>
            <c:numRef>
              <c:f>'[2022-23 charts &amp; tables.xlsx]Tables &amp; charts'!$K$258:$N$258</c:f>
              <c:numCache>
                <c:formatCode>General</c:formatCode>
                <c:ptCount val="4"/>
                <c:pt idx="0">
                  <c:v>4</c:v>
                </c:pt>
                <c:pt idx="1">
                  <c:v>3</c:v>
                </c:pt>
                <c:pt idx="2">
                  <c:v>2</c:v>
                </c:pt>
                <c:pt idx="3">
                  <c:v>2</c:v>
                </c:pt>
              </c:numCache>
            </c:numRef>
          </c:val>
          <c:extLst>
            <c:ext xmlns:c16="http://schemas.microsoft.com/office/drawing/2014/chart" uri="{C3380CC4-5D6E-409C-BE32-E72D297353CC}">
              <c16:uniqueId val="{00000003-633C-4A1A-8547-5C72821B52A2}"/>
            </c:ext>
          </c:extLst>
        </c:ser>
        <c:dLbls>
          <c:dLblPos val="outEnd"/>
          <c:showLegendKey val="0"/>
          <c:showVal val="1"/>
          <c:showCatName val="0"/>
          <c:showSerName val="0"/>
          <c:showPercent val="0"/>
          <c:showBubbleSize val="0"/>
        </c:dLbls>
        <c:gapWidth val="219"/>
        <c:overlap val="-27"/>
        <c:axId val="76329280"/>
        <c:axId val="76324000"/>
      </c:barChart>
      <c:catAx>
        <c:axId val="7632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4000"/>
        <c:crosses val="autoZero"/>
        <c:auto val="1"/>
        <c:lblAlgn val="ctr"/>
        <c:lblOffset val="100"/>
        <c:noMultiLvlLbl val="0"/>
      </c:catAx>
      <c:valAx>
        <c:axId val="763240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32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lumMod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AEE013B02274DAF54049F5D3DB009" ma:contentTypeVersion="14" ma:contentTypeDescription="Create a new document." ma:contentTypeScope="" ma:versionID="2a2cd5c16188302b34ca264a8d5c94a4">
  <xsd:schema xmlns:xsd="http://www.w3.org/2001/XMLSchema" xmlns:xs="http://www.w3.org/2001/XMLSchema" xmlns:p="http://schemas.microsoft.com/office/2006/metadata/properties" xmlns:ns2="d0b5c41a-83b4-4f14-9844-5e6188ace2e1" xmlns:ns3="e3d1aecc-8c9a-4ad5-8112-2908f61317b7" targetNamespace="http://schemas.microsoft.com/office/2006/metadata/properties" ma:root="true" ma:fieldsID="03c277cf329586e1bb51b21820450462" ns2:_="" ns3:_="">
    <xsd:import namespace="d0b5c41a-83b4-4f14-9844-5e6188ace2e1"/>
    <xsd:import namespace="e3d1aecc-8c9a-4ad5-8112-2908f6131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5c41a-83b4-4f14-9844-5e6188ace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1aecc-8c9a-4ad5-8112-2908f6131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167517-ff6e-4c87-89e5-657ece1b8ad8}" ma:internalName="TaxCatchAll" ma:showField="CatchAllData" ma:web="e3d1aecc-8c9a-4ad5-8112-2908f6131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d1aecc-8c9a-4ad5-8112-2908f61317b7">
      <UserInfo>
        <DisplayName>Shona Steedman</DisplayName>
        <AccountId>70</AccountId>
        <AccountType/>
      </UserInfo>
    </SharedWithUsers>
    <lcf76f155ced4ddcb4097134ff3c332f xmlns="d0b5c41a-83b4-4f14-9844-5e6188ace2e1">
      <Terms xmlns="http://schemas.microsoft.com/office/infopath/2007/PartnerControls"/>
    </lcf76f155ced4ddcb4097134ff3c332f>
    <TaxCatchAll xmlns="e3d1aecc-8c9a-4ad5-8112-2908f61317b7" xsi:nil="true"/>
  </documentManagement>
</p:properties>
</file>

<file path=customXml/itemProps1.xml><?xml version="1.0" encoding="utf-8"?>
<ds:datastoreItem xmlns:ds="http://schemas.openxmlformats.org/officeDocument/2006/customXml" ds:itemID="{7F113D10-CBD8-40D3-BBBF-D2535955157B}">
  <ds:schemaRefs>
    <ds:schemaRef ds:uri="http://schemas.openxmlformats.org/officeDocument/2006/bibliography"/>
  </ds:schemaRefs>
</ds:datastoreItem>
</file>

<file path=customXml/itemProps2.xml><?xml version="1.0" encoding="utf-8"?>
<ds:datastoreItem xmlns:ds="http://schemas.openxmlformats.org/officeDocument/2006/customXml" ds:itemID="{0E2E32C3-D486-4F92-AC23-67B517E78A86}">
  <ds:schemaRefs>
    <ds:schemaRef ds:uri="http://schemas.microsoft.com/sharepoint/v3/contenttype/forms"/>
  </ds:schemaRefs>
</ds:datastoreItem>
</file>

<file path=customXml/itemProps3.xml><?xml version="1.0" encoding="utf-8"?>
<ds:datastoreItem xmlns:ds="http://schemas.openxmlformats.org/officeDocument/2006/customXml" ds:itemID="{7A68EC1C-63AB-4D08-9737-DF6D024D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5c41a-83b4-4f14-9844-5e6188ace2e1"/>
    <ds:schemaRef ds:uri="e3d1aecc-8c9a-4ad5-8112-2908f6131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736F0-1D7C-4C8E-BF4A-739F2501381F}">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0b5c41a-83b4-4f14-9844-5e6188ace2e1"/>
    <ds:schemaRef ds:uri="http://schemas.openxmlformats.org/package/2006/metadata/core-properties"/>
    <ds:schemaRef ds:uri="e3d1aecc-8c9a-4ad5-8112-2908f61317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Links>
    <vt:vector size="12" baseType="variant">
      <vt:variant>
        <vt:i4>5111915</vt:i4>
      </vt:variant>
      <vt:variant>
        <vt:i4>3</vt:i4>
      </vt:variant>
      <vt:variant>
        <vt:i4>0</vt:i4>
      </vt:variant>
      <vt:variant>
        <vt:i4>5</vt:i4>
      </vt:variant>
      <vt:variant>
        <vt:lpwstr>mailto:Eileen.Rowand@fife.gov.uk</vt:lpwstr>
      </vt:variant>
      <vt:variant>
        <vt:lpwstr/>
      </vt:variant>
      <vt:variant>
        <vt:i4>4325447</vt:i4>
      </vt:variant>
      <vt:variant>
        <vt:i4>0</vt:i4>
      </vt:variant>
      <vt:variant>
        <vt:i4>0</vt:i4>
      </vt:variant>
      <vt:variant>
        <vt:i4>5</vt:i4>
      </vt:variant>
      <vt:variant>
        <vt:lpwstr>https://www.audit-scotland.gov.uk/uploads/docs/um/spi_direction_2021.pdf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Steedman</dc:creator>
  <cp:keywords/>
  <dc:description/>
  <cp:lastModifiedBy>Carly Duke</cp:lastModifiedBy>
  <cp:revision>2</cp:revision>
  <dcterms:created xsi:type="dcterms:W3CDTF">2024-01-29T10:06:00Z</dcterms:created>
  <dcterms:modified xsi:type="dcterms:W3CDTF">2024-01-29T10:06:00Z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0x010100BE4AEE013B02274DAF54049F5D3DB009</vt:lpwstr>
  </property>
  <property fmtid="{D5CDD505-2E9C-101B-9397-08002B2CF9AE}" pid="3" name="GrammarlyDocumentId">
    <vt:lpwstr>d5fe45365f4498d5ea34637338585db2cd76916e039277c0d792a8dfc3a59e7a</vt:lpwstr>
  </property>
  <property fmtid="{D5CDD505-2E9C-101B-9397-08002B2CF9AE}" pid="4" name="MediaServiceImageTags">
    <vt:lpwstr/>
  </property>
</Properties>
</file>