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7ACD5" w14:textId="77777777" w:rsidR="009342E9" w:rsidRDefault="009342E9" w:rsidP="009342E9">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Engagement Escalation Protocol</w:t>
      </w:r>
    </w:p>
    <w:p w14:paraId="451E3561" w14:textId="77777777" w:rsidR="009342E9" w:rsidRDefault="009342E9" w:rsidP="009342E9">
      <w:pPr>
        <w:spacing w:after="0" w:line="240" w:lineRule="auto"/>
        <w:jc w:val="center"/>
        <w:rPr>
          <w:rFonts w:ascii="Arial" w:eastAsia="Times New Roman" w:hAnsi="Arial" w:cs="Arial"/>
          <w:sz w:val="16"/>
          <w:szCs w:val="16"/>
          <w:lang w:eastAsia="en-GB"/>
        </w:rPr>
      </w:pPr>
      <w:r w:rsidRPr="009B0D31">
        <w:rPr>
          <w:rFonts w:ascii="Arial" w:eastAsia="Times New Roman" w:hAnsi="Arial" w:cs="Arial"/>
          <w:sz w:val="16"/>
          <w:szCs w:val="16"/>
          <w:lang w:eastAsia="en-GB"/>
        </w:rPr>
        <w:t>Triggered following a Multiple Report of Harm Inter-agency Referral Discussion when the outcome</w:t>
      </w:r>
      <w:r>
        <w:rPr>
          <w:rFonts w:ascii="Arial" w:eastAsia="Times New Roman" w:hAnsi="Arial" w:cs="Arial"/>
          <w:sz w:val="16"/>
          <w:szCs w:val="16"/>
          <w:lang w:eastAsia="en-GB"/>
        </w:rPr>
        <w:t xml:space="preserve"> is option</w:t>
      </w:r>
      <w:r w:rsidRPr="009B0D31">
        <w:rPr>
          <w:rFonts w:ascii="Arial" w:eastAsia="Times New Roman" w:hAnsi="Arial" w:cs="Arial"/>
          <w:sz w:val="16"/>
          <w:szCs w:val="16"/>
          <w:lang w:eastAsia="en-GB"/>
        </w:rPr>
        <w:t xml:space="preserve"> 3 </w:t>
      </w:r>
    </w:p>
    <w:p w14:paraId="32F2A773" w14:textId="77777777" w:rsidR="009342E9" w:rsidRPr="00C04DF1" w:rsidRDefault="009342E9" w:rsidP="009342E9">
      <w:pPr>
        <w:spacing w:after="0" w:line="240" w:lineRule="auto"/>
        <w:jc w:val="center"/>
        <w:rPr>
          <w:rFonts w:ascii="Arial" w:eastAsia="Times New Roman" w:hAnsi="Arial" w:cs="Arial"/>
          <w:sz w:val="16"/>
          <w:szCs w:val="16"/>
          <w:lang w:eastAsia="en-GB"/>
        </w:rPr>
      </w:pPr>
    </w:p>
    <w:p w14:paraId="220EBF1F" w14:textId="77777777" w:rsidR="009342E9" w:rsidRDefault="009342E9" w:rsidP="009342E9">
      <w:pPr>
        <w:rPr>
          <w:rFonts w:ascii="Arial" w:eastAsia="Times New Roman" w:hAnsi="Arial" w:cs="Arial"/>
          <w:sz w:val="24"/>
          <w:szCs w:val="24"/>
          <w:lang w:eastAsia="en-GB"/>
        </w:rPr>
      </w:pPr>
      <w:r w:rsidRPr="00F64BA1">
        <w:rPr>
          <w:rFonts w:ascii="Arial" w:eastAsia="Times New Roman" w:hAnsi="Arial" w:cs="Arial"/>
          <w:b/>
          <w:sz w:val="24"/>
          <w:szCs w:val="24"/>
          <w:lang w:eastAsia="en-GB"/>
        </w:rPr>
        <w:t>Introduction</w:t>
      </w:r>
      <w:r>
        <w:rPr>
          <w:rFonts w:ascii="Arial" w:eastAsia="Times New Roman" w:hAnsi="Arial" w:cs="Arial"/>
          <w:b/>
          <w:sz w:val="24"/>
          <w:szCs w:val="24"/>
          <w:lang w:eastAsia="en-GB"/>
        </w:rPr>
        <w:t>:</w:t>
      </w:r>
      <w:r w:rsidRPr="00510F40">
        <w:rPr>
          <w:rFonts w:ascii="Arial" w:eastAsia="Times New Roman" w:hAnsi="Arial" w:cs="Arial"/>
          <w:sz w:val="24"/>
          <w:szCs w:val="24"/>
          <w:lang w:eastAsia="en-GB"/>
        </w:rPr>
        <w:t xml:space="preserve"> </w:t>
      </w:r>
    </w:p>
    <w:p w14:paraId="2AC6C1A9" w14:textId="77777777" w:rsidR="005D7C96" w:rsidRPr="00EA5C67" w:rsidRDefault="005D7C96" w:rsidP="00053995">
      <w:pPr>
        <w:rPr>
          <w:rFonts w:ascii="Arial" w:hAnsi="Arial" w:cs="Arial"/>
          <w:b/>
          <w:color w:val="FF0000"/>
          <w:sz w:val="24"/>
          <w:szCs w:val="24"/>
        </w:rPr>
      </w:pPr>
      <w:r w:rsidRPr="005D7C96">
        <w:rPr>
          <w:rFonts w:ascii="Arial" w:eastAsia="Times New Roman" w:hAnsi="Arial" w:cs="Arial"/>
          <w:sz w:val="24"/>
          <w:szCs w:val="24"/>
          <w:lang w:eastAsia="en-GB"/>
        </w:rPr>
        <w:t xml:space="preserve">The Engagement Escalation Protocol is initiated following a Multiple Report of Harm Inter-agency Referral Discussion where the outcome is that the adult </w:t>
      </w:r>
      <w:r w:rsidRPr="005D7C96">
        <w:rPr>
          <w:rFonts w:ascii="Arial" w:hAnsi="Arial" w:cs="Arial"/>
          <w:sz w:val="24"/>
          <w:szCs w:val="24"/>
        </w:rPr>
        <w:t>meets the 3 point criteria, there is risk of serious harm, and the adult is unlikely to or has refused to engage with previously offered interventions under adult support and protection legislation and has capacity to do so</w:t>
      </w:r>
      <w:r w:rsidRPr="00EA5C67">
        <w:rPr>
          <w:rFonts w:ascii="Arial" w:hAnsi="Arial" w:cs="Arial"/>
          <w:color w:val="FF0000"/>
          <w:sz w:val="24"/>
          <w:szCs w:val="24"/>
        </w:rPr>
        <w:t>.</w:t>
      </w:r>
    </w:p>
    <w:p w14:paraId="2600291E" w14:textId="77777777" w:rsidR="009342E9" w:rsidRPr="00510F40" w:rsidRDefault="009342E9" w:rsidP="009342E9">
      <w:pPr>
        <w:rPr>
          <w:rFonts w:ascii="Arial" w:eastAsia="Times New Roman" w:hAnsi="Arial" w:cs="Arial"/>
          <w:sz w:val="24"/>
          <w:szCs w:val="24"/>
          <w:lang w:eastAsia="en-GB"/>
        </w:rPr>
      </w:pPr>
      <w:r w:rsidRPr="009D125A">
        <w:rPr>
          <w:rFonts w:ascii="Arial" w:eastAsia="Times New Roman" w:hAnsi="Arial" w:cs="Arial"/>
          <w:sz w:val="24"/>
          <w:szCs w:val="24"/>
          <w:lang w:eastAsia="en-GB"/>
        </w:rPr>
        <w:t xml:space="preserve">Learning from Significant Case Reviews has identified a theme that individuals that agencies have difficulty in establishing </w:t>
      </w:r>
      <w:r>
        <w:rPr>
          <w:rFonts w:ascii="Arial" w:eastAsia="Times New Roman" w:hAnsi="Arial" w:cs="Arial"/>
          <w:sz w:val="24"/>
          <w:szCs w:val="24"/>
          <w:lang w:eastAsia="en-GB"/>
        </w:rPr>
        <w:t xml:space="preserve">a </w:t>
      </w:r>
      <w:r w:rsidRPr="009D125A">
        <w:rPr>
          <w:rFonts w:ascii="Arial" w:eastAsia="Times New Roman" w:hAnsi="Arial" w:cs="Arial"/>
          <w:sz w:val="24"/>
          <w:szCs w:val="24"/>
          <w:lang w:eastAsia="en-GB"/>
        </w:rPr>
        <w:t xml:space="preserve">rapport with and </w:t>
      </w:r>
      <w:r>
        <w:rPr>
          <w:rFonts w:ascii="Arial" w:eastAsia="Times New Roman" w:hAnsi="Arial" w:cs="Arial"/>
          <w:sz w:val="24"/>
          <w:szCs w:val="24"/>
          <w:lang w:eastAsia="en-GB"/>
        </w:rPr>
        <w:t xml:space="preserve">who resist or undermine </w:t>
      </w:r>
      <w:r w:rsidRPr="009D125A">
        <w:rPr>
          <w:rFonts w:ascii="Arial" w:eastAsia="Times New Roman" w:hAnsi="Arial" w:cs="Arial"/>
          <w:sz w:val="24"/>
          <w:szCs w:val="24"/>
          <w:lang w:eastAsia="en-GB"/>
        </w:rPr>
        <w:t xml:space="preserve">attempts to engage </w:t>
      </w:r>
      <w:r>
        <w:rPr>
          <w:rFonts w:ascii="Arial" w:eastAsia="Times New Roman" w:hAnsi="Arial" w:cs="Arial"/>
          <w:sz w:val="24"/>
          <w:szCs w:val="24"/>
          <w:lang w:eastAsia="en-GB"/>
        </w:rPr>
        <w:t xml:space="preserve">with </w:t>
      </w:r>
      <w:r w:rsidRPr="009D125A">
        <w:rPr>
          <w:rFonts w:ascii="Arial" w:eastAsia="Times New Roman" w:hAnsi="Arial" w:cs="Arial"/>
          <w:sz w:val="24"/>
          <w:szCs w:val="24"/>
          <w:lang w:eastAsia="en-GB"/>
        </w:rPr>
        <w:t>offer</w:t>
      </w:r>
      <w:r>
        <w:rPr>
          <w:rFonts w:ascii="Arial" w:eastAsia="Times New Roman" w:hAnsi="Arial" w:cs="Arial"/>
          <w:sz w:val="24"/>
          <w:szCs w:val="24"/>
          <w:lang w:eastAsia="en-GB"/>
        </w:rPr>
        <w:t>s of</w:t>
      </w:r>
      <w:r w:rsidRPr="009D125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inter-agency </w:t>
      </w:r>
      <w:r w:rsidRPr="009D125A">
        <w:rPr>
          <w:rFonts w:ascii="Arial" w:eastAsia="Times New Roman" w:hAnsi="Arial" w:cs="Arial"/>
          <w:sz w:val="24"/>
          <w:szCs w:val="24"/>
          <w:lang w:eastAsia="en-GB"/>
        </w:rPr>
        <w:t>support and protection may not have had the full risks taken account of</w:t>
      </w:r>
      <w:r>
        <w:rPr>
          <w:rFonts w:ascii="Arial" w:eastAsia="Times New Roman" w:hAnsi="Arial" w:cs="Arial"/>
          <w:sz w:val="24"/>
          <w:szCs w:val="24"/>
          <w:lang w:eastAsia="en-GB"/>
        </w:rPr>
        <w:t xml:space="preserve">. </w:t>
      </w:r>
      <w:r w:rsidRPr="00FE5035">
        <w:rPr>
          <w:rFonts w:ascii="Arial" w:hAnsi="Arial" w:cs="Arial"/>
          <w:sz w:val="24"/>
          <w:szCs w:val="24"/>
        </w:rPr>
        <w:t>This can lead to social isolation and a risk to the health and wellbeing of the adult</w:t>
      </w:r>
      <w:r>
        <w:rPr>
          <w:rFonts w:ascii="Arial" w:hAnsi="Arial" w:cs="Arial"/>
          <w:sz w:val="24"/>
          <w:szCs w:val="24"/>
        </w:rPr>
        <w:t>.</w:t>
      </w:r>
    </w:p>
    <w:p w14:paraId="6F362AA1" w14:textId="77777777" w:rsidR="009342E9" w:rsidRPr="00F64BA1" w:rsidRDefault="009342E9" w:rsidP="009342E9">
      <w:pPr>
        <w:rPr>
          <w:rFonts w:ascii="Arial" w:hAnsi="Arial" w:cs="Arial"/>
          <w:sz w:val="24"/>
          <w:szCs w:val="24"/>
        </w:rPr>
      </w:pPr>
      <w:r w:rsidRPr="00F64BA1">
        <w:rPr>
          <w:rFonts w:ascii="Arial" w:hAnsi="Arial" w:cs="Arial"/>
          <w:sz w:val="24"/>
          <w:szCs w:val="24"/>
        </w:rPr>
        <w:t xml:space="preserve">This </w:t>
      </w:r>
      <w:r>
        <w:rPr>
          <w:rFonts w:ascii="Arial" w:hAnsi="Arial" w:cs="Arial"/>
          <w:sz w:val="24"/>
          <w:szCs w:val="24"/>
        </w:rPr>
        <w:t>protocol</w:t>
      </w:r>
      <w:r w:rsidRPr="00F64BA1">
        <w:rPr>
          <w:rFonts w:ascii="Arial" w:hAnsi="Arial" w:cs="Arial"/>
          <w:sz w:val="24"/>
          <w:szCs w:val="24"/>
        </w:rPr>
        <w:t xml:space="preserve"> sets out </w:t>
      </w:r>
      <w:r>
        <w:rPr>
          <w:rFonts w:ascii="Arial" w:hAnsi="Arial" w:cs="Arial"/>
          <w:sz w:val="24"/>
          <w:szCs w:val="24"/>
        </w:rPr>
        <w:t>a framework for agencies to use</w:t>
      </w:r>
      <w:r w:rsidRPr="00F64BA1">
        <w:rPr>
          <w:rFonts w:ascii="Arial" w:hAnsi="Arial" w:cs="Arial"/>
          <w:sz w:val="24"/>
          <w:szCs w:val="24"/>
        </w:rPr>
        <w:t xml:space="preserve"> to find solutions, where possible, to working </w:t>
      </w:r>
      <w:r>
        <w:rPr>
          <w:rFonts w:ascii="Arial" w:hAnsi="Arial" w:cs="Arial"/>
          <w:sz w:val="24"/>
          <w:szCs w:val="24"/>
        </w:rPr>
        <w:t xml:space="preserve">proactively </w:t>
      </w:r>
      <w:r w:rsidRPr="00F64BA1">
        <w:rPr>
          <w:rFonts w:ascii="Arial" w:hAnsi="Arial" w:cs="Arial"/>
          <w:sz w:val="24"/>
          <w:szCs w:val="24"/>
        </w:rPr>
        <w:t xml:space="preserve">with adults at risk of harm who are reluctant or refuse to engage with agencies. Only by working together with a shared responsibility can adults in such situations be potentially supported and protected. The </w:t>
      </w:r>
      <w:r>
        <w:rPr>
          <w:rFonts w:ascii="Arial" w:hAnsi="Arial" w:cs="Arial"/>
          <w:sz w:val="24"/>
          <w:szCs w:val="24"/>
        </w:rPr>
        <w:t>protocol</w:t>
      </w:r>
      <w:r w:rsidRPr="00F64BA1">
        <w:rPr>
          <w:rFonts w:ascii="Arial" w:hAnsi="Arial" w:cs="Arial"/>
          <w:sz w:val="24"/>
          <w:szCs w:val="24"/>
        </w:rPr>
        <w:t xml:space="preserve"> should be read in conjunction with partners own policies and procedures.</w:t>
      </w:r>
    </w:p>
    <w:p w14:paraId="0C0E4E50" w14:textId="77777777" w:rsidR="009342E9" w:rsidRDefault="009342E9" w:rsidP="009342E9">
      <w:pPr>
        <w:rPr>
          <w:rFonts w:ascii="Arial" w:eastAsia="Times New Roman" w:hAnsi="Arial" w:cs="Arial"/>
          <w:b/>
          <w:sz w:val="24"/>
          <w:szCs w:val="24"/>
          <w:lang w:eastAsia="en-GB"/>
        </w:rPr>
      </w:pPr>
      <w:r w:rsidRPr="00DE0BC4">
        <w:rPr>
          <w:rFonts w:ascii="Arial" w:eastAsia="Times New Roman" w:hAnsi="Arial" w:cs="Arial"/>
          <w:b/>
          <w:sz w:val="24"/>
          <w:szCs w:val="24"/>
          <w:lang w:eastAsia="en-GB"/>
        </w:rPr>
        <w:t>Purpose</w:t>
      </w:r>
      <w:r>
        <w:rPr>
          <w:rFonts w:ascii="Arial" w:eastAsia="Times New Roman" w:hAnsi="Arial" w:cs="Arial"/>
          <w:b/>
          <w:sz w:val="24"/>
          <w:szCs w:val="24"/>
          <w:lang w:eastAsia="en-GB"/>
        </w:rPr>
        <w:t>:</w:t>
      </w:r>
    </w:p>
    <w:p w14:paraId="1BDF153A" w14:textId="77777777" w:rsidR="009342E9" w:rsidRDefault="009342E9" w:rsidP="009342E9">
      <w:pPr>
        <w:rPr>
          <w:rFonts w:ascii="Arial" w:eastAsia="Times New Roman" w:hAnsi="Arial" w:cs="Arial"/>
          <w:sz w:val="24"/>
          <w:szCs w:val="24"/>
          <w:lang w:eastAsia="en-GB"/>
        </w:rPr>
      </w:pPr>
      <w:r>
        <w:rPr>
          <w:rFonts w:ascii="Arial" w:eastAsia="Times New Roman" w:hAnsi="Arial" w:cs="Arial"/>
          <w:sz w:val="24"/>
          <w:szCs w:val="24"/>
          <w:lang w:eastAsia="en-GB"/>
        </w:rPr>
        <w:t xml:space="preserve">This protocol has been developed to provide professionals with an escalation framework to facilitate effective inter-agency working with </w:t>
      </w:r>
      <w:r w:rsidRPr="00DE0BC4">
        <w:rPr>
          <w:rFonts w:ascii="Arial" w:eastAsia="Times New Roman" w:hAnsi="Arial" w:cs="Arial"/>
          <w:sz w:val="24"/>
          <w:szCs w:val="24"/>
          <w:lang w:eastAsia="en-GB"/>
        </w:rPr>
        <w:t xml:space="preserve">adults </w:t>
      </w:r>
      <w:r>
        <w:rPr>
          <w:rFonts w:ascii="Arial" w:eastAsia="Times New Roman" w:hAnsi="Arial" w:cs="Arial"/>
          <w:sz w:val="24"/>
          <w:szCs w:val="24"/>
          <w:lang w:eastAsia="en-GB"/>
        </w:rPr>
        <w:t xml:space="preserve">at risk of harm </w:t>
      </w:r>
      <w:r w:rsidRPr="00DE0BC4">
        <w:rPr>
          <w:rFonts w:ascii="Arial" w:eastAsia="Times New Roman" w:hAnsi="Arial" w:cs="Arial"/>
          <w:sz w:val="24"/>
          <w:szCs w:val="24"/>
          <w:lang w:eastAsia="en-GB"/>
        </w:rPr>
        <w:t xml:space="preserve">who have the capacity to make choices which place them at risk of serious harm </w:t>
      </w:r>
      <w:r>
        <w:rPr>
          <w:rFonts w:ascii="Arial" w:eastAsia="Times New Roman" w:hAnsi="Arial" w:cs="Arial"/>
          <w:sz w:val="24"/>
          <w:szCs w:val="24"/>
          <w:lang w:eastAsia="en-GB"/>
        </w:rPr>
        <w:t>through:</w:t>
      </w:r>
    </w:p>
    <w:p w14:paraId="583E1475" w14:textId="77777777" w:rsidR="009342E9" w:rsidRDefault="009342E9" w:rsidP="009342E9">
      <w:pPr>
        <w:pStyle w:val="ListParagraph"/>
        <w:numPr>
          <w:ilvl w:val="0"/>
          <w:numId w:val="2"/>
        </w:numPr>
        <w:rPr>
          <w:rFonts w:ascii="Arial" w:eastAsia="Times New Roman" w:hAnsi="Arial" w:cs="Arial"/>
          <w:sz w:val="24"/>
          <w:szCs w:val="24"/>
          <w:lang w:eastAsia="en-GB"/>
        </w:rPr>
      </w:pPr>
      <w:r w:rsidRPr="006D4087">
        <w:rPr>
          <w:rFonts w:ascii="Arial" w:eastAsia="Times New Roman" w:hAnsi="Arial" w:cs="Arial"/>
          <w:sz w:val="24"/>
          <w:szCs w:val="24"/>
          <w:lang w:eastAsia="en-GB"/>
        </w:rPr>
        <w:t>self-neglect</w:t>
      </w:r>
    </w:p>
    <w:p w14:paraId="60A3A3CB" w14:textId="77777777" w:rsidR="009342E9" w:rsidRDefault="009342E9" w:rsidP="009342E9">
      <w:pPr>
        <w:pStyle w:val="ListParagraph"/>
        <w:numPr>
          <w:ilvl w:val="0"/>
          <w:numId w:val="2"/>
        </w:numPr>
        <w:rPr>
          <w:rFonts w:ascii="Arial" w:eastAsia="Times New Roman" w:hAnsi="Arial" w:cs="Arial"/>
          <w:sz w:val="24"/>
          <w:szCs w:val="24"/>
          <w:lang w:eastAsia="en-GB"/>
        </w:rPr>
      </w:pPr>
      <w:r w:rsidRPr="006D4087">
        <w:rPr>
          <w:rFonts w:ascii="Arial" w:eastAsia="Times New Roman" w:hAnsi="Arial" w:cs="Arial"/>
          <w:sz w:val="24"/>
          <w:szCs w:val="24"/>
          <w:lang w:eastAsia="en-GB"/>
        </w:rPr>
        <w:t>risk</w:t>
      </w:r>
      <w:r>
        <w:rPr>
          <w:rFonts w:ascii="Arial" w:eastAsia="Times New Roman" w:hAnsi="Arial" w:cs="Arial"/>
          <w:sz w:val="24"/>
          <w:szCs w:val="24"/>
          <w:lang w:eastAsia="en-GB"/>
        </w:rPr>
        <w:t>-</w:t>
      </w:r>
      <w:r w:rsidRPr="006D4087">
        <w:rPr>
          <w:rFonts w:ascii="Arial" w:eastAsia="Times New Roman" w:hAnsi="Arial" w:cs="Arial"/>
          <w:sz w:val="24"/>
          <w:szCs w:val="24"/>
          <w:lang w:eastAsia="en-GB"/>
        </w:rPr>
        <w:t>taking behaviour</w:t>
      </w:r>
      <w:r>
        <w:rPr>
          <w:rFonts w:ascii="Arial" w:eastAsia="Times New Roman" w:hAnsi="Arial" w:cs="Arial"/>
          <w:sz w:val="24"/>
          <w:szCs w:val="24"/>
          <w:lang w:eastAsia="en-GB"/>
        </w:rPr>
        <w:t>,</w:t>
      </w:r>
      <w:r w:rsidRPr="006D4087">
        <w:rPr>
          <w:rFonts w:ascii="Arial" w:eastAsia="Times New Roman" w:hAnsi="Arial" w:cs="Arial"/>
          <w:sz w:val="24"/>
          <w:szCs w:val="24"/>
          <w:lang w:eastAsia="en-GB"/>
        </w:rPr>
        <w:t xml:space="preserve"> or </w:t>
      </w:r>
    </w:p>
    <w:p w14:paraId="00CF940B" w14:textId="77777777" w:rsidR="009342E9" w:rsidRDefault="009342E9" w:rsidP="009342E9">
      <w:pPr>
        <w:pStyle w:val="ListParagraph"/>
        <w:numPr>
          <w:ilvl w:val="0"/>
          <w:numId w:val="2"/>
        </w:numPr>
        <w:rPr>
          <w:rFonts w:ascii="Arial" w:eastAsia="Times New Roman" w:hAnsi="Arial" w:cs="Arial"/>
          <w:sz w:val="24"/>
          <w:szCs w:val="24"/>
          <w:lang w:eastAsia="en-GB"/>
        </w:rPr>
      </w:pPr>
      <w:proofErr w:type="gramStart"/>
      <w:r w:rsidRPr="006D4087">
        <w:rPr>
          <w:rFonts w:ascii="Arial" w:eastAsia="Times New Roman" w:hAnsi="Arial" w:cs="Arial"/>
          <w:sz w:val="24"/>
          <w:szCs w:val="24"/>
          <w:lang w:eastAsia="en-GB"/>
        </w:rPr>
        <w:t>refusal</w:t>
      </w:r>
      <w:proofErr w:type="gramEnd"/>
      <w:r w:rsidRPr="006D4087">
        <w:rPr>
          <w:rFonts w:ascii="Arial" w:eastAsia="Times New Roman" w:hAnsi="Arial" w:cs="Arial"/>
          <w:sz w:val="24"/>
          <w:szCs w:val="24"/>
          <w:lang w:eastAsia="en-GB"/>
        </w:rPr>
        <w:t xml:space="preserve"> of services</w:t>
      </w:r>
      <w:r>
        <w:rPr>
          <w:rFonts w:ascii="Arial" w:eastAsia="Times New Roman" w:hAnsi="Arial" w:cs="Arial"/>
          <w:sz w:val="24"/>
          <w:szCs w:val="24"/>
          <w:lang w:eastAsia="en-GB"/>
        </w:rPr>
        <w:t xml:space="preserve"> assessed as necessary</w:t>
      </w:r>
      <w:r w:rsidRPr="006D4087">
        <w:rPr>
          <w:rFonts w:ascii="Arial" w:eastAsia="Times New Roman" w:hAnsi="Arial" w:cs="Arial"/>
          <w:sz w:val="24"/>
          <w:szCs w:val="24"/>
          <w:lang w:eastAsia="en-GB"/>
        </w:rPr>
        <w:t xml:space="preserve">. </w:t>
      </w:r>
    </w:p>
    <w:p w14:paraId="366F0FB0" w14:textId="2EA9A5B0" w:rsidR="009342E9" w:rsidRDefault="009342E9" w:rsidP="009342E9">
      <w:pPr>
        <w:rPr>
          <w:rFonts w:ascii="Arial" w:eastAsia="Times New Roman" w:hAnsi="Arial" w:cs="Arial"/>
          <w:sz w:val="24"/>
          <w:szCs w:val="24"/>
          <w:lang w:eastAsia="en-GB"/>
        </w:rPr>
      </w:pPr>
      <w:r>
        <w:rPr>
          <w:rFonts w:ascii="Arial" w:eastAsia="Times New Roman" w:hAnsi="Arial" w:cs="Arial"/>
          <w:sz w:val="24"/>
          <w:szCs w:val="24"/>
          <w:lang w:eastAsia="en-GB"/>
        </w:rPr>
        <w:t>A key</w:t>
      </w:r>
      <w:r w:rsidRPr="006D4087">
        <w:rPr>
          <w:rFonts w:ascii="Arial" w:eastAsia="Times New Roman" w:hAnsi="Arial" w:cs="Arial"/>
          <w:sz w:val="24"/>
          <w:szCs w:val="24"/>
          <w:lang w:eastAsia="en-GB"/>
        </w:rPr>
        <w:t xml:space="preserve"> aim is to encourage the adult to eng</w:t>
      </w:r>
      <w:r w:rsidR="00FA7B8F">
        <w:rPr>
          <w:rFonts w:ascii="Arial" w:eastAsia="Times New Roman" w:hAnsi="Arial" w:cs="Arial"/>
          <w:sz w:val="24"/>
          <w:szCs w:val="24"/>
          <w:lang w:eastAsia="en-GB"/>
        </w:rPr>
        <w:t xml:space="preserve">age with support and protection </w:t>
      </w:r>
      <w:r>
        <w:rPr>
          <w:rFonts w:ascii="Arial" w:eastAsia="Times New Roman" w:hAnsi="Arial" w:cs="Arial"/>
          <w:sz w:val="24"/>
          <w:szCs w:val="24"/>
          <w:lang w:eastAsia="en-GB"/>
        </w:rPr>
        <w:t xml:space="preserve">intervention </w:t>
      </w:r>
      <w:r w:rsidRPr="006D4087">
        <w:rPr>
          <w:rFonts w:ascii="Arial" w:eastAsia="Times New Roman" w:hAnsi="Arial" w:cs="Arial"/>
          <w:sz w:val="24"/>
          <w:szCs w:val="24"/>
          <w:lang w:eastAsia="en-GB"/>
        </w:rPr>
        <w:t xml:space="preserve">and be an active participant in </w:t>
      </w:r>
      <w:r>
        <w:rPr>
          <w:rFonts w:ascii="Arial" w:eastAsia="Times New Roman" w:hAnsi="Arial" w:cs="Arial"/>
          <w:sz w:val="24"/>
          <w:szCs w:val="24"/>
          <w:lang w:eastAsia="en-GB"/>
        </w:rPr>
        <w:t>the process.</w:t>
      </w:r>
    </w:p>
    <w:p w14:paraId="5DB9946D" w14:textId="77777777" w:rsidR="009342E9" w:rsidRDefault="009342E9" w:rsidP="009342E9">
      <w:pPr>
        <w:rPr>
          <w:rFonts w:ascii="Arial" w:hAnsi="Arial" w:cs="Arial"/>
          <w:b/>
          <w:sz w:val="24"/>
          <w:szCs w:val="24"/>
        </w:rPr>
      </w:pPr>
      <w:r w:rsidRPr="009D125A">
        <w:rPr>
          <w:rFonts w:ascii="Arial" w:eastAsia="Times New Roman" w:hAnsi="Arial" w:cs="Arial"/>
          <w:sz w:val="24"/>
          <w:szCs w:val="24"/>
          <w:lang w:eastAsia="en-GB"/>
        </w:rPr>
        <w:t>Th</w:t>
      </w:r>
      <w:r>
        <w:rPr>
          <w:rFonts w:ascii="Arial" w:eastAsia="Times New Roman" w:hAnsi="Arial" w:cs="Arial"/>
          <w:sz w:val="24"/>
          <w:szCs w:val="24"/>
          <w:lang w:eastAsia="en-GB"/>
        </w:rPr>
        <w:t>is</w:t>
      </w:r>
      <w:r w:rsidRPr="009D125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approach </w:t>
      </w:r>
      <w:r w:rsidRPr="009D125A">
        <w:rPr>
          <w:rFonts w:ascii="Arial" w:eastAsia="Times New Roman" w:hAnsi="Arial" w:cs="Arial"/>
          <w:sz w:val="24"/>
          <w:szCs w:val="24"/>
          <w:lang w:eastAsia="en-GB"/>
        </w:rPr>
        <w:t>builds on th</w:t>
      </w:r>
      <w:r>
        <w:rPr>
          <w:rFonts w:ascii="Arial" w:eastAsia="Times New Roman" w:hAnsi="Arial" w:cs="Arial"/>
          <w:sz w:val="24"/>
          <w:szCs w:val="24"/>
          <w:lang w:eastAsia="en-GB"/>
        </w:rPr>
        <w:t>e</w:t>
      </w:r>
      <w:r w:rsidRPr="009D125A">
        <w:rPr>
          <w:rFonts w:ascii="Arial" w:eastAsia="Times New Roman" w:hAnsi="Arial" w:cs="Arial"/>
          <w:sz w:val="24"/>
          <w:szCs w:val="24"/>
          <w:lang w:eastAsia="en-GB"/>
        </w:rPr>
        <w:t xml:space="preserve"> M</w:t>
      </w:r>
      <w:r>
        <w:rPr>
          <w:rFonts w:ascii="Arial" w:eastAsia="Times New Roman" w:hAnsi="Arial" w:cs="Arial"/>
          <w:sz w:val="24"/>
          <w:szCs w:val="24"/>
          <w:lang w:eastAsia="en-GB"/>
        </w:rPr>
        <w:t xml:space="preserve">ultiple Report of Harm Protocol </w:t>
      </w:r>
      <w:r w:rsidRPr="009D125A">
        <w:rPr>
          <w:rFonts w:ascii="Arial" w:eastAsia="Times New Roman" w:hAnsi="Arial" w:cs="Arial"/>
          <w:sz w:val="24"/>
          <w:szCs w:val="24"/>
          <w:lang w:eastAsia="en-GB"/>
        </w:rPr>
        <w:t>and is designed to inform and advise staff on how and when to escalate to th</w:t>
      </w:r>
      <w:r>
        <w:rPr>
          <w:rFonts w:ascii="Arial" w:eastAsia="Times New Roman" w:hAnsi="Arial" w:cs="Arial"/>
          <w:sz w:val="24"/>
          <w:szCs w:val="24"/>
          <w:lang w:eastAsia="en-GB"/>
        </w:rPr>
        <w:t>is stage.</w:t>
      </w:r>
      <w:r w:rsidRPr="009D125A">
        <w:rPr>
          <w:rFonts w:ascii="Arial" w:eastAsia="Times New Roman" w:hAnsi="Arial" w:cs="Arial"/>
          <w:sz w:val="24"/>
          <w:szCs w:val="24"/>
          <w:lang w:eastAsia="en-GB"/>
        </w:rPr>
        <w:t xml:space="preserve"> </w:t>
      </w:r>
    </w:p>
    <w:p w14:paraId="337FF576" w14:textId="77777777" w:rsidR="009342E9" w:rsidRDefault="009342E9" w:rsidP="009342E9">
      <w:pPr>
        <w:rPr>
          <w:rFonts w:ascii="Arial" w:hAnsi="Arial" w:cs="Arial"/>
          <w:b/>
          <w:sz w:val="24"/>
          <w:szCs w:val="24"/>
        </w:rPr>
      </w:pPr>
      <w:r>
        <w:rPr>
          <w:rFonts w:ascii="Arial" w:hAnsi="Arial" w:cs="Arial"/>
          <w:b/>
          <w:sz w:val="24"/>
          <w:szCs w:val="24"/>
        </w:rPr>
        <w:t>Criteria for initiating the Engagement Escalation Protocol</w:t>
      </w:r>
    </w:p>
    <w:p w14:paraId="4EF87DDE" w14:textId="77777777" w:rsidR="009342E9" w:rsidRDefault="009342E9" w:rsidP="009342E9">
      <w:pPr>
        <w:rPr>
          <w:rFonts w:ascii="Arial" w:hAnsi="Arial" w:cs="Arial"/>
          <w:sz w:val="24"/>
          <w:szCs w:val="24"/>
        </w:rPr>
      </w:pPr>
      <w:r w:rsidRPr="009D125A">
        <w:rPr>
          <w:rFonts w:ascii="Arial" w:hAnsi="Arial" w:cs="Arial"/>
          <w:sz w:val="24"/>
          <w:szCs w:val="24"/>
        </w:rPr>
        <w:t xml:space="preserve">An adult  </w:t>
      </w:r>
    </w:p>
    <w:p w14:paraId="2E018ADC" w14:textId="77777777" w:rsidR="009342E9" w:rsidRPr="007E2246" w:rsidRDefault="009342E9" w:rsidP="009342E9">
      <w:pPr>
        <w:pStyle w:val="ListParagraph"/>
        <w:numPr>
          <w:ilvl w:val="0"/>
          <w:numId w:val="1"/>
        </w:numPr>
        <w:rPr>
          <w:rFonts w:ascii="Arial" w:hAnsi="Arial" w:cs="Arial"/>
          <w:b/>
          <w:sz w:val="24"/>
          <w:szCs w:val="24"/>
        </w:rPr>
      </w:pPr>
      <w:r>
        <w:rPr>
          <w:rFonts w:ascii="Arial" w:hAnsi="Arial" w:cs="Arial"/>
          <w:sz w:val="24"/>
          <w:szCs w:val="24"/>
        </w:rPr>
        <w:t xml:space="preserve">who </w:t>
      </w:r>
      <w:r w:rsidRPr="007E2246">
        <w:rPr>
          <w:rFonts w:ascii="Arial" w:hAnsi="Arial" w:cs="Arial"/>
          <w:sz w:val="24"/>
          <w:szCs w:val="24"/>
        </w:rPr>
        <w:t xml:space="preserve">meets the </w:t>
      </w:r>
      <w:r>
        <w:rPr>
          <w:rFonts w:ascii="Arial" w:hAnsi="Arial" w:cs="Arial"/>
          <w:sz w:val="24"/>
          <w:szCs w:val="24"/>
        </w:rPr>
        <w:t xml:space="preserve">Adult Support and Protection (Scotland ) Act 2007 </w:t>
      </w:r>
      <w:r w:rsidRPr="007E2246">
        <w:rPr>
          <w:rFonts w:ascii="Arial" w:hAnsi="Arial" w:cs="Arial"/>
          <w:sz w:val="24"/>
          <w:szCs w:val="24"/>
        </w:rPr>
        <w:t>3 point criteria</w:t>
      </w:r>
      <w:r>
        <w:rPr>
          <w:rFonts w:ascii="Arial" w:hAnsi="Arial" w:cs="Arial"/>
          <w:sz w:val="24"/>
          <w:szCs w:val="24"/>
        </w:rPr>
        <w:t>,</w:t>
      </w:r>
      <w:r w:rsidRPr="007E2246">
        <w:rPr>
          <w:rFonts w:ascii="Arial" w:hAnsi="Arial" w:cs="Arial"/>
          <w:sz w:val="24"/>
          <w:szCs w:val="24"/>
        </w:rPr>
        <w:t xml:space="preserve"> and </w:t>
      </w:r>
    </w:p>
    <w:p w14:paraId="0C38F244" w14:textId="77777777" w:rsidR="009342E9" w:rsidRPr="00DF5F79" w:rsidRDefault="009342E9" w:rsidP="009342E9">
      <w:pPr>
        <w:pStyle w:val="ListParagraph"/>
        <w:numPr>
          <w:ilvl w:val="0"/>
          <w:numId w:val="1"/>
        </w:numPr>
        <w:rPr>
          <w:rFonts w:ascii="Arial" w:hAnsi="Arial" w:cs="Arial"/>
          <w:b/>
          <w:sz w:val="24"/>
          <w:szCs w:val="24"/>
        </w:rPr>
      </w:pPr>
      <w:r>
        <w:rPr>
          <w:rFonts w:ascii="Arial" w:hAnsi="Arial" w:cs="Arial"/>
          <w:sz w:val="24"/>
          <w:szCs w:val="24"/>
        </w:rPr>
        <w:t>who</w:t>
      </w:r>
      <w:r w:rsidRPr="007E2246">
        <w:rPr>
          <w:rFonts w:ascii="Arial" w:hAnsi="Arial" w:cs="Arial"/>
          <w:sz w:val="24"/>
          <w:szCs w:val="24"/>
        </w:rPr>
        <w:t xml:space="preserve"> </w:t>
      </w:r>
      <w:r>
        <w:rPr>
          <w:rFonts w:ascii="Arial" w:hAnsi="Arial" w:cs="Arial"/>
          <w:sz w:val="24"/>
          <w:szCs w:val="24"/>
        </w:rPr>
        <w:t>is at risk of serious harm</w:t>
      </w:r>
      <w:r>
        <w:rPr>
          <w:rStyle w:val="FootnoteReference"/>
          <w:rFonts w:ascii="Arial" w:hAnsi="Arial" w:cs="Arial"/>
          <w:sz w:val="24"/>
          <w:szCs w:val="24"/>
        </w:rPr>
        <w:footnoteReference w:id="1"/>
      </w:r>
    </w:p>
    <w:p w14:paraId="7FB2D418" w14:textId="77777777" w:rsidR="009342E9" w:rsidRPr="007E2246" w:rsidRDefault="009342E9" w:rsidP="009342E9">
      <w:pPr>
        <w:pStyle w:val="ListParagraph"/>
        <w:numPr>
          <w:ilvl w:val="0"/>
          <w:numId w:val="1"/>
        </w:numPr>
        <w:rPr>
          <w:rFonts w:ascii="Arial" w:hAnsi="Arial" w:cs="Arial"/>
          <w:b/>
          <w:sz w:val="24"/>
          <w:szCs w:val="24"/>
        </w:rPr>
      </w:pPr>
      <w:r w:rsidRPr="007E2246">
        <w:rPr>
          <w:rFonts w:ascii="Arial" w:hAnsi="Arial" w:cs="Arial"/>
          <w:sz w:val="24"/>
          <w:szCs w:val="24"/>
        </w:rPr>
        <w:lastRenderedPageBreak/>
        <w:t>who</w:t>
      </w:r>
      <w:r>
        <w:rPr>
          <w:rFonts w:ascii="Arial" w:hAnsi="Arial" w:cs="Arial"/>
          <w:sz w:val="24"/>
          <w:szCs w:val="24"/>
        </w:rPr>
        <w:t xml:space="preserve"> </w:t>
      </w:r>
      <w:r w:rsidRPr="007E2246">
        <w:rPr>
          <w:rFonts w:ascii="Arial" w:hAnsi="Arial" w:cs="Arial"/>
          <w:sz w:val="24"/>
          <w:szCs w:val="24"/>
        </w:rPr>
        <w:t>is unlikely to or has refused to engage</w:t>
      </w:r>
      <w:r>
        <w:rPr>
          <w:rFonts w:ascii="Arial" w:hAnsi="Arial" w:cs="Arial"/>
          <w:sz w:val="24"/>
          <w:szCs w:val="24"/>
        </w:rPr>
        <w:t>, or there is evidence of disguised compliance</w:t>
      </w:r>
      <w:r w:rsidRPr="007E2246">
        <w:rPr>
          <w:rFonts w:ascii="Arial" w:hAnsi="Arial" w:cs="Arial"/>
          <w:sz w:val="24"/>
          <w:szCs w:val="24"/>
        </w:rPr>
        <w:t xml:space="preserve"> with previously offered </w:t>
      </w:r>
      <w:r>
        <w:rPr>
          <w:rFonts w:ascii="Arial" w:hAnsi="Arial" w:cs="Arial"/>
          <w:sz w:val="24"/>
          <w:szCs w:val="24"/>
        </w:rPr>
        <w:t xml:space="preserve">support and protection intervention </w:t>
      </w:r>
      <w:r w:rsidRPr="007E2246">
        <w:rPr>
          <w:rFonts w:ascii="Arial" w:hAnsi="Arial" w:cs="Arial"/>
          <w:sz w:val="24"/>
          <w:szCs w:val="24"/>
        </w:rPr>
        <w:t xml:space="preserve">and </w:t>
      </w:r>
    </w:p>
    <w:p w14:paraId="0A7FA22B" w14:textId="77777777" w:rsidR="009342E9" w:rsidRPr="0038591D" w:rsidRDefault="009342E9" w:rsidP="009342E9">
      <w:pPr>
        <w:pStyle w:val="ListParagraph"/>
        <w:numPr>
          <w:ilvl w:val="0"/>
          <w:numId w:val="1"/>
        </w:numPr>
        <w:rPr>
          <w:rFonts w:ascii="Arial" w:hAnsi="Arial" w:cs="Arial"/>
          <w:b/>
          <w:sz w:val="24"/>
          <w:szCs w:val="24"/>
        </w:rPr>
      </w:pPr>
      <w:r>
        <w:rPr>
          <w:rFonts w:ascii="Arial" w:hAnsi="Arial" w:cs="Arial"/>
          <w:sz w:val="24"/>
          <w:szCs w:val="24"/>
        </w:rPr>
        <w:t>who has capacity to decline support and protection</w:t>
      </w:r>
    </w:p>
    <w:p w14:paraId="5D7D126D" w14:textId="77777777" w:rsidR="009342E9" w:rsidRPr="00F6289F" w:rsidRDefault="009342E9" w:rsidP="009342E9">
      <w:pPr>
        <w:pStyle w:val="ListParagraph"/>
        <w:numPr>
          <w:ilvl w:val="0"/>
          <w:numId w:val="1"/>
        </w:numPr>
        <w:rPr>
          <w:rFonts w:ascii="Arial" w:hAnsi="Arial" w:cs="Arial"/>
          <w:b/>
          <w:sz w:val="24"/>
          <w:szCs w:val="24"/>
        </w:rPr>
      </w:pPr>
      <w:r>
        <w:rPr>
          <w:rFonts w:ascii="Arial" w:hAnsi="Arial" w:cs="Arial"/>
          <w:sz w:val="24"/>
          <w:szCs w:val="24"/>
        </w:rPr>
        <w:t>where there is/may be a public safety interest</w:t>
      </w:r>
    </w:p>
    <w:p w14:paraId="2238D264" w14:textId="77777777" w:rsidR="009342E9" w:rsidRPr="00F6289F" w:rsidRDefault="009342E9" w:rsidP="009342E9">
      <w:pPr>
        <w:rPr>
          <w:rFonts w:ascii="Arial" w:hAnsi="Arial" w:cs="Arial"/>
          <w:b/>
          <w:sz w:val="24"/>
          <w:szCs w:val="24"/>
        </w:rPr>
      </w:pPr>
      <w:r>
        <w:rPr>
          <w:rFonts w:ascii="Arial" w:hAnsi="Arial" w:cs="Arial"/>
          <w:b/>
          <w:sz w:val="24"/>
          <w:szCs w:val="24"/>
        </w:rPr>
        <w:t>It is recognised that there is a complex balance required to be established between the duty of care and statutory requirement with respect for autonomy and self-determination. This inter-agency process provides a mechanism to ensure that no individual member of staff or agency is exposed to this balancing act alone.</w:t>
      </w:r>
    </w:p>
    <w:p w14:paraId="78EC044A" w14:textId="77777777" w:rsidR="009342E9" w:rsidRPr="009D125A" w:rsidRDefault="009342E9" w:rsidP="009342E9">
      <w:pPr>
        <w:rPr>
          <w:rFonts w:ascii="Arial" w:hAnsi="Arial" w:cs="Arial"/>
          <w:b/>
          <w:sz w:val="24"/>
          <w:szCs w:val="24"/>
        </w:rPr>
      </w:pPr>
      <w:r>
        <w:rPr>
          <w:rFonts w:ascii="Arial" w:hAnsi="Arial" w:cs="Arial"/>
          <w:b/>
          <w:sz w:val="24"/>
          <w:szCs w:val="24"/>
        </w:rPr>
        <w:t xml:space="preserve">Engagement Escalation Protocol: </w:t>
      </w:r>
    </w:p>
    <w:p w14:paraId="116D9368" w14:textId="77777777" w:rsidR="009342E9" w:rsidRDefault="009342E9" w:rsidP="009342E9">
      <w:pPr>
        <w:rPr>
          <w:rFonts w:ascii="Arial" w:hAnsi="Arial" w:cs="Arial"/>
          <w:sz w:val="24"/>
          <w:szCs w:val="24"/>
        </w:rPr>
      </w:pPr>
      <w:r>
        <w:rPr>
          <w:rFonts w:ascii="Arial" w:hAnsi="Arial" w:cs="Arial"/>
          <w:sz w:val="24"/>
          <w:szCs w:val="24"/>
        </w:rPr>
        <w:t>Research indicates that when agencies have difficulty in engaging with adults at risk of serious harm it is important for staff to be prepared to work at the adult’s pace, and therefore the case may remain open and active for a long period.</w:t>
      </w:r>
    </w:p>
    <w:p w14:paraId="33BCAE76" w14:textId="77777777" w:rsidR="009342E9" w:rsidRDefault="009342E9" w:rsidP="009342E9">
      <w:pPr>
        <w:rPr>
          <w:rFonts w:ascii="Arial" w:hAnsi="Arial" w:cs="Arial"/>
          <w:sz w:val="24"/>
          <w:szCs w:val="24"/>
        </w:rPr>
      </w:pPr>
      <w:r>
        <w:rPr>
          <w:rFonts w:ascii="Arial" w:hAnsi="Arial" w:cs="Arial"/>
          <w:sz w:val="24"/>
          <w:szCs w:val="24"/>
        </w:rPr>
        <w:t xml:space="preserve">As with all other processes connected with Adult Support and Protection, Social Work Services, on behalf of the local authority, are the </w:t>
      </w:r>
      <w:r w:rsidRPr="009D125A">
        <w:rPr>
          <w:rFonts w:ascii="Arial" w:hAnsi="Arial" w:cs="Arial"/>
          <w:sz w:val="24"/>
          <w:szCs w:val="24"/>
        </w:rPr>
        <w:t>lead agency</w:t>
      </w:r>
      <w:r>
        <w:rPr>
          <w:rFonts w:ascii="Arial" w:hAnsi="Arial" w:cs="Arial"/>
          <w:sz w:val="24"/>
          <w:szCs w:val="24"/>
        </w:rPr>
        <w:t xml:space="preserve"> and will be responsible for coordinating the approach with the adult to maximise engagement, reduce risk, reduce duplication and achieve a positive outcome. </w:t>
      </w:r>
    </w:p>
    <w:p w14:paraId="687DA8C0" w14:textId="77777777" w:rsidR="009342E9" w:rsidRDefault="009342E9" w:rsidP="009342E9">
      <w:pPr>
        <w:rPr>
          <w:rFonts w:ascii="Arial" w:hAnsi="Arial" w:cs="Arial"/>
          <w:sz w:val="24"/>
          <w:szCs w:val="24"/>
        </w:rPr>
      </w:pPr>
      <w:r w:rsidRPr="00DE0BC4">
        <w:rPr>
          <w:rFonts w:ascii="Arial" w:hAnsi="Arial" w:cs="Arial"/>
          <w:sz w:val="24"/>
          <w:szCs w:val="24"/>
        </w:rPr>
        <w:t xml:space="preserve">The </w:t>
      </w:r>
      <w:r>
        <w:rPr>
          <w:rFonts w:ascii="Arial" w:hAnsi="Arial" w:cs="Arial"/>
          <w:sz w:val="24"/>
          <w:szCs w:val="24"/>
        </w:rPr>
        <w:t>IRD report initiated to address the multiple reports of harm</w:t>
      </w:r>
      <w:r w:rsidRPr="00DE0BC4">
        <w:rPr>
          <w:rFonts w:ascii="Arial" w:hAnsi="Arial" w:cs="Arial"/>
          <w:sz w:val="24"/>
          <w:szCs w:val="24"/>
        </w:rPr>
        <w:t xml:space="preserve"> </w:t>
      </w:r>
      <w:r>
        <w:rPr>
          <w:rFonts w:ascii="Arial" w:hAnsi="Arial" w:cs="Arial"/>
          <w:sz w:val="24"/>
          <w:szCs w:val="24"/>
        </w:rPr>
        <w:t xml:space="preserve">will record </w:t>
      </w:r>
      <w:r w:rsidRPr="00DE0BC4">
        <w:rPr>
          <w:rFonts w:ascii="Arial" w:hAnsi="Arial" w:cs="Arial"/>
          <w:sz w:val="24"/>
          <w:szCs w:val="24"/>
        </w:rPr>
        <w:t>the outcome</w:t>
      </w:r>
      <w:r>
        <w:rPr>
          <w:rFonts w:ascii="Arial" w:hAnsi="Arial" w:cs="Arial"/>
          <w:sz w:val="24"/>
          <w:szCs w:val="24"/>
        </w:rPr>
        <w:t>,</w:t>
      </w:r>
      <w:r w:rsidRPr="00DE0BC4">
        <w:rPr>
          <w:rFonts w:ascii="Arial" w:hAnsi="Arial" w:cs="Arial"/>
          <w:sz w:val="24"/>
          <w:szCs w:val="24"/>
        </w:rPr>
        <w:t xml:space="preserve"> and</w:t>
      </w:r>
      <w:r>
        <w:rPr>
          <w:rFonts w:ascii="Arial" w:hAnsi="Arial" w:cs="Arial"/>
          <w:sz w:val="24"/>
          <w:szCs w:val="24"/>
        </w:rPr>
        <w:t>, where agreed,</w:t>
      </w:r>
      <w:r w:rsidRPr="00DE0BC4">
        <w:rPr>
          <w:rFonts w:ascii="Arial" w:hAnsi="Arial" w:cs="Arial"/>
          <w:sz w:val="24"/>
          <w:szCs w:val="24"/>
        </w:rPr>
        <w:t xml:space="preserve"> that the </w:t>
      </w:r>
      <w:r>
        <w:rPr>
          <w:rFonts w:ascii="Arial" w:hAnsi="Arial" w:cs="Arial"/>
          <w:sz w:val="24"/>
          <w:szCs w:val="24"/>
        </w:rPr>
        <w:t>escalation process will now be initiated.  An inter-agency chronology</w:t>
      </w:r>
      <w:r>
        <w:rPr>
          <w:rStyle w:val="FootnoteReference"/>
          <w:rFonts w:ascii="Arial" w:hAnsi="Arial" w:cs="Arial"/>
          <w:sz w:val="24"/>
          <w:szCs w:val="24"/>
        </w:rPr>
        <w:footnoteReference w:id="2"/>
      </w:r>
      <w:r>
        <w:rPr>
          <w:rFonts w:ascii="Arial" w:hAnsi="Arial" w:cs="Arial"/>
          <w:sz w:val="24"/>
          <w:szCs w:val="24"/>
        </w:rPr>
        <w:t xml:space="preserve">, triggered by the multiple reports of harm, will be key to the first engagement escalation meeting. </w:t>
      </w:r>
    </w:p>
    <w:p w14:paraId="37BFBD52" w14:textId="77777777" w:rsidR="009342E9" w:rsidRDefault="009342E9" w:rsidP="009342E9">
      <w:pPr>
        <w:rPr>
          <w:rFonts w:ascii="Arial" w:hAnsi="Arial" w:cs="Arial"/>
          <w:sz w:val="24"/>
          <w:szCs w:val="24"/>
        </w:rPr>
      </w:pPr>
      <w:r w:rsidRPr="00014292">
        <w:rPr>
          <w:rFonts w:ascii="Arial" w:hAnsi="Arial" w:cs="Arial"/>
          <w:b/>
          <w:sz w:val="24"/>
          <w:szCs w:val="24"/>
        </w:rPr>
        <w:t xml:space="preserve">Purpose of </w:t>
      </w:r>
      <w:r w:rsidR="00F74D1E">
        <w:rPr>
          <w:rFonts w:ascii="Arial" w:hAnsi="Arial" w:cs="Arial"/>
          <w:b/>
          <w:sz w:val="24"/>
          <w:szCs w:val="24"/>
        </w:rPr>
        <w:t xml:space="preserve">the Engagement Escalation </w:t>
      </w:r>
      <w:r w:rsidRPr="00014292">
        <w:rPr>
          <w:rFonts w:ascii="Arial" w:hAnsi="Arial" w:cs="Arial"/>
          <w:b/>
          <w:sz w:val="24"/>
          <w:szCs w:val="24"/>
        </w:rPr>
        <w:t>Meeting</w:t>
      </w:r>
      <w:r>
        <w:rPr>
          <w:rFonts w:ascii="Arial" w:hAnsi="Arial" w:cs="Arial"/>
          <w:sz w:val="24"/>
          <w:szCs w:val="24"/>
        </w:rPr>
        <w:t>:</w:t>
      </w:r>
    </w:p>
    <w:p w14:paraId="51CEB806" w14:textId="77777777" w:rsidR="009342E9" w:rsidRDefault="009342E9" w:rsidP="009342E9">
      <w:pPr>
        <w:rPr>
          <w:rFonts w:ascii="Arial" w:hAnsi="Arial" w:cs="Arial"/>
          <w:sz w:val="24"/>
          <w:szCs w:val="24"/>
        </w:rPr>
      </w:pPr>
      <w:r>
        <w:rPr>
          <w:rFonts w:ascii="Arial" w:hAnsi="Arial" w:cs="Arial"/>
          <w:sz w:val="24"/>
          <w:szCs w:val="24"/>
        </w:rPr>
        <w:t xml:space="preserve">The Engagement Escalation meeting is the forum for agreement that the outcome of the multiple report of harm IRD is established and that there is a need to have an escalated inter-agency response to the risks and concerns identified.  </w:t>
      </w:r>
    </w:p>
    <w:p w14:paraId="027691BB" w14:textId="77777777" w:rsidR="009342E9" w:rsidRDefault="009342E9" w:rsidP="009342E9">
      <w:pPr>
        <w:rPr>
          <w:rFonts w:ascii="Arial" w:hAnsi="Arial" w:cs="Arial"/>
          <w:sz w:val="24"/>
          <w:szCs w:val="24"/>
        </w:rPr>
      </w:pPr>
      <w:r>
        <w:rPr>
          <w:rFonts w:ascii="Arial" w:hAnsi="Arial" w:cs="Arial"/>
          <w:sz w:val="24"/>
          <w:szCs w:val="24"/>
        </w:rPr>
        <w:t>The meeting will be chaired by a service manager because the standard ASP process has been exhausted and therefore, as well as risk to the adult from their reluctance or refusal to engage with previously proposed intervention, there is also a need for senior manager oversight to review, guide and support staff to ensure every avenue has been explored and that there are no blind spots in decision-making processes.</w:t>
      </w:r>
    </w:p>
    <w:p w14:paraId="19C1545B" w14:textId="77777777" w:rsidR="009342E9" w:rsidRPr="002E15E7" w:rsidRDefault="009342E9" w:rsidP="009342E9">
      <w:pPr>
        <w:rPr>
          <w:rFonts w:ascii="Arial" w:hAnsi="Arial" w:cs="Arial"/>
          <w:sz w:val="24"/>
          <w:szCs w:val="24"/>
        </w:rPr>
      </w:pPr>
      <w:r>
        <w:rPr>
          <w:rFonts w:ascii="Arial" w:hAnsi="Arial" w:cs="Arial"/>
          <w:sz w:val="24"/>
          <w:szCs w:val="24"/>
        </w:rPr>
        <w:t xml:space="preserve">The aim will be to agree strategies and approaches which may encourage the adult to engage and therefore reduce the risk it is believed they are exposed to. This will include consideration of which agency may have the best opportunity of initiating or </w:t>
      </w:r>
      <w:r>
        <w:rPr>
          <w:rFonts w:ascii="Arial" w:hAnsi="Arial" w:cs="Arial"/>
          <w:sz w:val="24"/>
          <w:szCs w:val="24"/>
        </w:rPr>
        <w:lastRenderedPageBreak/>
        <w:t>building on any current connection that exists, with continuing support from the inter-agency partnership.</w:t>
      </w:r>
    </w:p>
    <w:p w14:paraId="28CDDAFD" w14:textId="77777777" w:rsidR="009342E9" w:rsidRPr="00FE5035" w:rsidRDefault="005D7C96" w:rsidP="009342E9">
      <w:pPr>
        <w:rPr>
          <w:rFonts w:ascii="Arial" w:hAnsi="Arial" w:cs="Arial"/>
          <w:sz w:val="24"/>
          <w:szCs w:val="24"/>
        </w:rPr>
      </w:pPr>
      <w:r>
        <w:rPr>
          <w:rFonts w:ascii="Arial" w:hAnsi="Arial" w:cs="Arial"/>
          <w:sz w:val="24"/>
          <w:szCs w:val="24"/>
        </w:rPr>
        <w:t>An</w:t>
      </w:r>
      <w:r w:rsidR="009342E9" w:rsidRPr="00CF6537">
        <w:rPr>
          <w:rFonts w:ascii="Arial" w:hAnsi="Arial" w:cs="Arial"/>
          <w:sz w:val="24"/>
          <w:szCs w:val="24"/>
        </w:rPr>
        <w:t xml:space="preserve"> inter-agency chronolo</w:t>
      </w:r>
      <w:r>
        <w:rPr>
          <w:rFonts w:ascii="Arial" w:hAnsi="Arial" w:cs="Arial"/>
          <w:sz w:val="24"/>
          <w:szCs w:val="24"/>
        </w:rPr>
        <w:t xml:space="preserve">gy and </w:t>
      </w:r>
      <w:r w:rsidR="009342E9">
        <w:rPr>
          <w:rFonts w:ascii="Arial" w:hAnsi="Arial" w:cs="Arial"/>
          <w:sz w:val="24"/>
          <w:szCs w:val="24"/>
        </w:rPr>
        <w:t xml:space="preserve">engagement checklist </w:t>
      </w:r>
      <w:r w:rsidR="009342E9" w:rsidRPr="00CF6537">
        <w:rPr>
          <w:rFonts w:ascii="Arial" w:hAnsi="Arial" w:cs="Arial"/>
          <w:sz w:val="24"/>
          <w:szCs w:val="24"/>
        </w:rPr>
        <w:t>will su</w:t>
      </w:r>
      <w:r w:rsidR="009342E9">
        <w:rPr>
          <w:rFonts w:ascii="Arial" w:hAnsi="Arial" w:cs="Arial"/>
          <w:sz w:val="24"/>
          <w:szCs w:val="24"/>
        </w:rPr>
        <w:t>pport discussions and help identify any channels to engagement not yet explored.</w:t>
      </w:r>
    </w:p>
    <w:p w14:paraId="7C56E1AA" w14:textId="77777777" w:rsidR="009342E9" w:rsidRDefault="009342E9" w:rsidP="009342E9">
      <w:pPr>
        <w:rPr>
          <w:rFonts w:ascii="Arial" w:hAnsi="Arial" w:cs="Arial"/>
          <w:b/>
          <w:sz w:val="24"/>
          <w:szCs w:val="24"/>
        </w:rPr>
      </w:pPr>
      <w:r w:rsidRPr="003F6FED">
        <w:rPr>
          <w:rFonts w:ascii="Arial" w:hAnsi="Arial" w:cs="Arial"/>
          <w:b/>
          <w:sz w:val="24"/>
          <w:szCs w:val="24"/>
        </w:rPr>
        <w:t xml:space="preserve">Prior to </w:t>
      </w:r>
      <w:r w:rsidR="00F74D1E">
        <w:rPr>
          <w:rFonts w:ascii="Arial" w:hAnsi="Arial" w:cs="Arial"/>
          <w:b/>
          <w:sz w:val="24"/>
          <w:szCs w:val="24"/>
        </w:rPr>
        <w:t xml:space="preserve">the Engagement Escalation </w:t>
      </w:r>
      <w:r w:rsidRPr="003F6FED">
        <w:rPr>
          <w:rFonts w:ascii="Arial" w:hAnsi="Arial" w:cs="Arial"/>
          <w:b/>
          <w:sz w:val="24"/>
          <w:szCs w:val="24"/>
        </w:rPr>
        <w:t>Meeting:</w:t>
      </w:r>
    </w:p>
    <w:p w14:paraId="2C1C3B15" w14:textId="77777777" w:rsidR="009342E9" w:rsidRDefault="009342E9" w:rsidP="009342E9">
      <w:pPr>
        <w:rPr>
          <w:rFonts w:ascii="Arial" w:hAnsi="Arial" w:cs="Arial"/>
          <w:sz w:val="24"/>
          <w:szCs w:val="24"/>
        </w:rPr>
      </w:pPr>
      <w:r w:rsidRPr="00F74D1E">
        <w:rPr>
          <w:rFonts w:ascii="Arial" w:hAnsi="Arial" w:cs="Arial"/>
          <w:sz w:val="24"/>
          <w:szCs w:val="24"/>
        </w:rPr>
        <w:t xml:space="preserve">In preparation for the first engagement escalation meeting the adult must be made aware of the outcome of the multiple report of harm IRD: </w:t>
      </w:r>
      <w:r w:rsidR="00053995" w:rsidRPr="00F74D1E">
        <w:rPr>
          <w:rFonts w:ascii="Arial" w:hAnsi="Arial" w:cs="Arial"/>
          <w:sz w:val="24"/>
          <w:szCs w:val="24"/>
        </w:rPr>
        <w:t xml:space="preserve">consideration of </w:t>
      </w:r>
      <w:r w:rsidRPr="00F74D1E">
        <w:rPr>
          <w:rFonts w:ascii="Arial" w:hAnsi="Arial" w:cs="Arial"/>
          <w:sz w:val="24"/>
          <w:szCs w:val="24"/>
        </w:rPr>
        <w:t xml:space="preserve">how this is achieved and who undertakes this exercise should </w:t>
      </w:r>
      <w:r w:rsidR="00053995" w:rsidRPr="00F74D1E">
        <w:rPr>
          <w:rFonts w:ascii="Arial" w:hAnsi="Arial" w:cs="Arial"/>
          <w:sz w:val="24"/>
          <w:szCs w:val="24"/>
        </w:rPr>
        <w:t xml:space="preserve">have occurred </w:t>
      </w:r>
      <w:r w:rsidRPr="00F74D1E">
        <w:rPr>
          <w:rFonts w:ascii="Arial" w:hAnsi="Arial" w:cs="Arial"/>
          <w:sz w:val="24"/>
          <w:szCs w:val="24"/>
        </w:rPr>
        <w:t xml:space="preserve">during the multiple report of harm </w:t>
      </w:r>
      <w:r w:rsidR="00053995" w:rsidRPr="00F74D1E">
        <w:rPr>
          <w:rFonts w:ascii="Arial" w:hAnsi="Arial" w:cs="Arial"/>
          <w:sz w:val="24"/>
          <w:szCs w:val="24"/>
        </w:rPr>
        <w:t xml:space="preserve">IRD. </w:t>
      </w:r>
      <w:r w:rsidRPr="00F74D1E">
        <w:rPr>
          <w:rFonts w:ascii="Arial" w:hAnsi="Arial" w:cs="Arial"/>
          <w:sz w:val="24"/>
          <w:szCs w:val="24"/>
        </w:rPr>
        <w:t>The goal is to encourage the adult to engage with any involved agency. It is not necessary for the adult to attend the Engagement Escalation meeting, however it is important that they are aware that agencies are concerned and wish to work with the adult to reduce the risk they are exposed to</w:t>
      </w:r>
      <w:r w:rsidRPr="000E2018">
        <w:rPr>
          <w:rFonts w:ascii="Arial" w:hAnsi="Arial" w:cs="Arial"/>
          <w:sz w:val="24"/>
          <w:szCs w:val="24"/>
        </w:rPr>
        <w:t>.</w:t>
      </w:r>
      <w:r>
        <w:rPr>
          <w:rFonts w:ascii="Arial" w:hAnsi="Arial" w:cs="Arial"/>
          <w:sz w:val="24"/>
          <w:szCs w:val="24"/>
        </w:rPr>
        <w:t xml:space="preserve"> </w:t>
      </w:r>
    </w:p>
    <w:p w14:paraId="52136613" w14:textId="77777777" w:rsidR="009342E9" w:rsidRPr="003F6FED" w:rsidRDefault="009342E9" w:rsidP="009342E9">
      <w:pPr>
        <w:rPr>
          <w:rFonts w:ascii="Arial" w:hAnsi="Arial" w:cs="Arial"/>
          <w:sz w:val="24"/>
          <w:szCs w:val="24"/>
        </w:rPr>
      </w:pPr>
      <w:r>
        <w:rPr>
          <w:rFonts w:ascii="Arial" w:hAnsi="Arial" w:cs="Arial"/>
          <w:sz w:val="24"/>
          <w:szCs w:val="24"/>
        </w:rPr>
        <w:t>A</w:t>
      </w:r>
      <w:r w:rsidRPr="00E238F1">
        <w:rPr>
          <w:rFonts w:ascii="Arial" w:hAnsi="Arial" w:cs="Arial"/>
          <w:sz w:val="24"/>
          <w:szCs w:val="24"/>
        </w:rPr>
        <w:t>dvocacy services</w:t>
      </w:r>
      <w:r>
        <w:rPr>
          <w:rFonts w:ascii="Arial" w:hAnsi="Arial" w:cs="Arial"/>
          <w:sz w:val="24"/>
          <w:szCs w:val="24"/>
        </w:rPr>
        <w:t xml:space="preserve"> must be a consideration and offered, as they may provide continuity and input that the adult may find impartial and helpful.</w:t>
      </w:r>
    </w:p>
    <w:p w14:paraId="4D3FD1C0" w14:textId="77777777" w:rsidR="009342E9" w:rsidRDefault="009342E9" w:rsidP="009342E9">
      <w:pPr>
        <w:rPr>
          <w:rFonts w:ascii="Arial" w:hAnsi="Arial" w:cs="Arial"/>
          <w:b/>
          <w:sz w:val="24"/>
          <w:szCs w:val="24"/>
        </w:rPr>
      </w:pPr>
    </w:p>
    <w:p w14:paraId="245E8D57" w14:textId="77777777" w:rsidR="009342E9" w:rsidRPr="008A5638" w:rsidRDefault="009342E9" w:rsidP="009342E9">
      <w:pPr>
        <w:rPr>
          <w:rFonts w:ascii="Arial" w:hAnsi="Arial" w:cs="Arial"/>
          <w:b/>
          <w:sz w:val="24"/>
          <w:szCs w:val="24"/>
        </w:rPr>
      </w:pPr>
      <w:r w:rsidRPr="008A5638">
        <w:rPr>
          <w:rFonts w:ascii="Arial" w:hAnsi="Arial" w:cs="Arial"/>
          <w:b/>
          <w:sz w:val="24"/>
          <w:szCs w:val="24"/>
        </w:rPr>
        <w:t xml:space="preserve">Planning the </w:t>
      </w:r>
      <w:r w:rsidR="00F74D1E">
        <w:rPr>
          <w:rFonts w:ascii="Arial" w:hAnsi="Arial" w:cs="Arial"/>
          <w:b/>
          <w:sz w:val="24"/>
          <w:szCs w:val="24"/>
        </w:rPr>
        <w:t xml:space="preserve">Engagement Escalation </w:t>
      </w:r>
      <w:r w:rsidRPr="008A5638">
        <w:rPr>
          <w:rFonts w:ascii="Arial" w:hAnsi="Arial" w:cs="Arial"/>
          <w:b/>
          <w:sz w:val="24"/>
          <w:szCs w:val="24"/>
        </w:rPr>
        <w:t>Meeting:</w:t>
      </w:r>
    </w:p>
    <w:p w14:paraId="5A610D3C" w14:textId="77777777" w:rsidR="009342E9" w:rsidRDefault="009342E9" w:rsidP="009342E9">
      <w:pPr>
        <w:rPr>
          <w:rFonts w:ascii="Arial" w:hAnsi="Arial" w:cs="Arial"/>
          <w:sz w:val="24"/>
          <w:szCs w:val="24"/>
        </w:rPr>
      </w:pPr>
      <w:r w:rsidRPr="00002429">
        <w:rPr>
          <w:rFonts w:ascii="Arial" w:hAnsi="Arial" w:cs="Arial"/>
          <w:sz w:val="24"/>
          <w:szCs w:val="24"/>
        </w:rPr>
        <w:t xml:space="preserve">Prior to the meeting, the </w:t>
      </w:r>
      <w:r>
        <w:rPr>
          <w:rFonts w:ascii="Arial" w:hAnsi="Arial" w:cs="Arial"/>
          <w:sz w:val="24"/>
          <w:szCs w:val="24"/>
        </w:rPr>
        <w:t xml:space="preserve">Social Work Service </w:t>
      </w:r>
      <w:r w:rsidRPr="00002429">
        <w:rPr>
          <w:rFonts w:ascii="Arial" w:hAnsi="Arial" w:cs="Arial"/>
          <w:sz w:val="24"/>
          <w:szCs w:val="24"/>
        </w:rPr>
        <w:t xml:space="preserve">Team Manager will circulate the </w:t>
      </w:r>
      <w:r>
        <w:rPr>
          <w:rFonts w:ascii="Arial" w:hAnsi="Arial" w:cs="Arial"/>
          <w:sz w:val="24"/>
          <w:szCs w:val="24"/>
        </w:rPr>
        <w:t>inter-agency</w:t>
      </w:r>
      <w:r w:rsidRPr="00002429">
        <w:rPr>
          <w:rFonts w:ascii="Arial" w:hAnsi="Arial" w:cs="Arial"/>
          <w:sz w:val="24"/>
          <w:szCs w:val="24"/>
        </w:rPr>
        <w:t xml:space="preserve"> chronology and </w:t>
      </w:r>
      <w:r>
        <w:rPr>
          <w:rFonts w:ascii="Arial" w:hAnsi="Arial" w:cs="Arial"/>
          <w:sz w:val="24"/>
          <w:szCs w:val="24"/>
        </w:rPr>
        <w:t xml:space="preserve">engagement </w:t>
      </w:r>
      <w:r w:rsidRPr="00002429">
        <w:rPr>
          <w:rFonts w:ascii="Arial" w:hAnsi="Arial" w:cs="Arial"/>
          <w:sz w:val="24"/>
          <w:szCs w:val="24"/>
        </w:rPr>
        <w:t>checklist. Th</w:t>
      </w:r>
      <w:r>
        <w:rPr>
          <w:rFonts w:ascii="Arial" w:hAnsi="Arial" w:cs="Arial"/>
          <w:sz w:val="24"/>
          <w:szCs w:val="24"/>
        </w:rPr>
        <w:t>e</w:t>
      </w:r>
      <w:r w:rsidRPr="00002429">
        <w:rPr>
          <w:rFonts w:ascii="Arial" w:hAnsi="Arial" w:cs="Arial"/>
          <w:sz w:val="24"/>
          <w:szCs w:val="24"/>
        </w:rPr>
        <w:t xml:space="preserve"> chronology should include any new reports of harm </w:t>
      </w:r>
      <w:r>
        <w:rPr>
          <w:rFonts w:ascii="Arial" w:hAnsi="Arial" w:cs="Arial"/>
          <w:sz w:val="24"/>
          <w:szCs w:val="24"/>
        </w:rPr>
        <w:t xml:space="preserve">which have been made since the multiple report of harm IRD meeting. </w:t>
      </w:r>
    </w:p>
    <w:p w14:paraId="58458D57" w14:textId="77777777" w:rsidR="009342E9" w:rsidRDefault="009342E9" w:rsidP="009342E9">
      <w:pPr>
        <w:rPr>
          <w:rFonts w:ascii="Arial" w:hAnsi="Arial" w:cs="Arial"/>
          <w:sz w:val="24"/>
          <w:szCs w:val="24"/>
        </w:rPr>
      </w:pPr>
      <w:r w:rsidRPr="00242F03">
        <w:rPr>
          <w:rFonts w:ascii="Arial" w:hAnsi="Arial" w:cs="Arial"/>
          <w:sz w:val="24"/>
          <w:szCs w:val="24"/>
        </w:rPr>
        <w:t xml:space="preserve">The checklist </w:t>
      </w:r>
      <w:r>
        <w:rPr>
          <w:rFonts w:ascii="Arial" w:hAnsi="Arial" w:cs="Arial"/>
          <w:sz w:val="24"/>
          <w:szCs w:val="24"/>
        </w:rPr>
        <w:t>template once populated provides</w:t>
      </w:r>
      <w:r w:rsidRPr="00242F03">
        <w:rPr>
          <w:rFonts w:ascii="Arial" w:hAnsi="Arial" w:cs="Arial"/>
          <w:sz w:val="24"/>
          <w:szCs w:val="24"/>
        </w:rPr>
        <w:t xml:space="preserve"> evidence of all support</w:t>
      </w:r>
      <w:r>
        <w:rPr>
          <w:rFonts w:ascii="Arial" w:hAnsi="Arial" w:cs="Arial"/>
          <w:sz w:val="24"/>
          <w:szCs w:val="24"/>
        </w:rPr>
        <w:t xml:space="preserve"> opportunities already tried</w:t>
      </w:r>
      <w:r w:rsidRPr="00242F03">
        <w:rPr>
          <w:rFonts w:ascii="Arial" w:hAnsi="Arial" w:cs="Arial"/>
          <w:sz w:val="24"/>
          <w:szCs w:val="24"/>
        </w:rPr>
        <w:t xml:space="preserve"> and may provide a source of alternatives to explore which may encourage some level</w:t>
      </w:r>
      <w:r>
        <w:rPr>
          <w:rFonts w:ascii="Arial" w:hAnsi="Arial" w:cs="Arial"/>
          <w:sz w:val="24"/>
          <w:szCs w:val="24"/>
        </w:rPr>
        <w:t xml:space="preserve"> of engagement with the adult, or address some of the barriers to engagement. </w:t>
      </w:r>
    </w:p>
    <w:p w14:paraId="7F4C1493" w14:textId="77777777" w:rsidR="009342E9" w:rsidRPr="00FE5035" w:rsidRDefault="009342E9" w:rsidP="009342E9">
      <w:pPr>
        <w:rPr>
          <w:rFonts w:ascii="Arial" w:hAnsi="Arial" w:cs="Arial"/>
          <w:sz w:val="24"/>
          <w:szCs w:val="24"/>
        </w:rPr>
      </w:pPr>
      <w:r>
        <w:rPr>
          <w:rFonts w:ascii="Arial" w:hAnsi="Arial" w:cs="Arial"/>
          <w:sz w:val="24"/>
          <w:szCs w:val="24"/>
        </w:rPr>
        <w:t>The checklist should be populated based on what is known to date. Agencies can add to this (and the chronology) so that an agreed full picture can be presented at the meeting.</w:t>
      </w:r>
    </w:p>
    <w:p w14:paraId="24BE40AB" w14:textId="77777777" w:rsidR="009342E9" w:rsidRDefault="009342E9" w:rsidP="009342E9">
      <w:pPr>
        <w:rPr>
          <w:rFonts w:ascii="Arial" w:hAnsi="Arial" w:cs="Arial"/>
          <w:b/>
          <w:sz w:val="24"/>
          <w:szCs w:val="24"/>
        </w:rPr>
      </w:pPr>
    </w:p>
    <w:p w14:paraId="31C39DF0" w14:textId="77777777" w:rsidR="009342E9" w:rsidRPr="00C93CED" w:rsidRDefault="009342E9" w:rsidP="009342E9">
      <w:pPr>
        <w:rPr>
          <w:rFonts w:ascii="Arial" w:hAnsi="Arial" w:cs="Arial"/>
          <w:b/>
          <w:sz w:val="24"/>
          <w:szCs w:val="24"/>
        </w:rPr>
      </w:pPr>
      <w:r w:rsidRPr="00862E3F">
        <w:rPr>
          <w:rFonts w:ascii="Arial" w:hAnsi="Arial" w:cs="Arial"/>
          <w:b/>
          <w:sz w:val="24"/>
          <w:szCs w:val="24"/>
        </w:rPr>
        <w:t xml:space="preserve">During the </w:t>
      </w:r>
      <w:r w:rsidR="00F74D1E">
        <w:rPr>
          <w:rFonts w:ascii="Arial" w:hAnsi="Arial" w:cs="Arial"/>
          <w:b/>
          <w:sz w:val="24"/>
          <w:szCs w:val="24"/>
        </w:rPr>
        <w:t xml:space="preserve">Engagement Escalation </w:t>
      </w:r>
      <w:r w:rsidRPr="00862E3F">
        <w:rPr>
          <w:rFonts w:ascii="Arial" w:hAnsi="Arial" w:cs="Arial"/>
          <w:b/>
          <w:sz w:val="24"/>
          <w:szCs w:val="24"/>
        </w:rPr>
        <w:t>Meeting</w:t>
      </w:r>
      <w:r>
        <w:rPr>
          <w:rFonts w:ascii="Arial" w:hAnsi="Arial" w:cs="Arial"/>
          <w:b/>
          <w:sz w:val="24"/>
          <w:szCs w:val="24"/>
        </w:rPr>
        <w:t>:</w:t>
      </w:r>
    </w:p>
    <w:p w14:paraId="388ED468" w14:textId="77777777" w:rsidR="009342E9" w:rsidRDefault="009342E9" w:rsidP="009342E9">
      <w:pPr>
        <w:rPr>
          <w:rFonts w:ascii="Arial" w:hAnsi="Arial" w:cs="Arial"/>
          <w:sz w:val="24"/>
          <w:szCs w:val="24"/>
        </w:rPr>
      </w:pPr>
      <w:r>
        <w:rPr>
          <w:rFonts w:ascii="Arial" w:hAnsi="Arial" w:cs="Arial"/>
          <w:sz w:val="24"/>
          <w:szCs w:val="24"/>
        </w:rPr>
        <w:t xml:space="preserve">The Inter-agency Engagement Escalation </w:t>
      </w:r>
      <w:r w:rsidR="00F74D1E">
        <w:rPr>
          <w:rFonts w:ascii="Arial" w:hAnsi="Arial" w:cs="Arial"/>
          <w:sz w:val="24"/>
          <w:szCs w:val="24"/>
        </w:rPr>
        <w:t>Group (EE</w:t>
      </w:r>
      <w:r>
        <w:rPr>
          <w:rFonts w:ascii="Arial" w:hAnsi="Arial" w:cs="Arial"/>
          <w:sz w:val="24"/>
          <w:szCs w:val="24"/>
        </w:rPr>
        <w:t>G) meeting will consider the inter-agency chronology and checklist.  The group will consider engagement opportunities untapped as yet, and a</w:t>
      </w:r>
      <w:r w:rsidRPr="000711D8">
        <w:rPr>
          <w:rFonts w:ascii="Arial" w:hAnsi="Arial" w:cs="Arial"/>
          <w:sz w:val="24"/>
          <w:szCs w:val="24"/>
        </w:rPr>
        <w:t xml:space="preserve">gree approaches to engage </w:t>
      </w:r>
      <w:r>
        <w:rPr>
          <w:rFonts w:ascii="Arial" w:hAnsi="Arial" w:cs="Arial"/>
          <w:sz w:val="24"/>
          <w:szCs w:val="24"/>
        </w:rPr>
        <w:t xml:space="preserve">with the </w:t>
      </w:r>
      <w:r w:rsidRPr="000711D8">
        <w:rPr>
          <w:rFonts w:ascii="Arial" w:hAnsi="Arial" w:cs="Arial"/>
          <w:sz w:val="24"/>
          <w:szCs w:val="24"/>
        </w:rPr>
        <w:t>adult and reduce risk</w:t>
      </w:r>
      <w:r>
        <w:rPr>
          <w:rFonts w:ascii="Arial" w:hAnsi="Arial" w:cs="Arial"/>
          <w:sz w:val="24"/>
          <w:szCs w:val="24"/>
        </w:rPr>
        <w:t xml:space="preserve">. This will include identifying the most relevant single point of contact (SPOC) who will maintain a </w:t>
      </w:r>
      <w:r w:rsidR="00F74D1E">
        <w:rPr>
          <w:rFonts w:ascii="Arial" w:hAnsi="Arial" w:cs="Arial"/>
          <w:sz w:val="24"/>
          <w:szCs w:val="24"/>
        </w:rPr>
        <w:t>contact loop with EE</w:t>
      </w:r>
      <w:r w:rsidRPr="000711D8">
        <w:rPr>
          <w:rFonts w:ascii="Arial" w:hAnsi="Arial" w:cs="Arial"/>
          <w:sz w:val="24"/>
          <w:szCs w:val="24"/>
        </w:rPr>
        <w:t>G</w:t>
      </w:r>
      <w:r>
        <w:rPr>
          <w:rFonts w:ascii="Arial" w:hAnsi="Arial" w:cs="Arial"/>
          <w:sz w:val="24"/>
          <w:szCs w:val="24"/>
        </w:rPr>
        <w:t>.</w:t>
      </w:r>
    </w:p>
    <w:p w14:paraId="5A7779EA" w14:textId="77777777" w:rsidR="009342E9" w:rsidRDefault="00F74D1E" w:rsidP="009342E9">
      <w:pPr>
        <w:rPr>
          <w:rFonts w:ascii="Arial" w:hAnsi="Arial" w:cs="Arial"/>
          <w:sz w:val="24"/>
          <w:szCs w:val="24"/>
        </w:rPr>
      </w:pPr>
      <w:r>
        <w:rPr>
          <w:rFonts w:ascii="Arial" w:hAnsi="Arial" w:cs="Arial"/>
          <w:sz w:val="24"/>
          <w:szCs w:val="24"/>
        </w:rPr>
        <w:lastRenderedPageBreak/>
        <w:t xml:space="preserve">A </w:t>
      </w:r>
      <w:r w:rsidR="009342E9">
        <w:rPr>
          <w:rFonts w:ascii="Arial" w:hAnsi="Arial" w:cs="Arial"/>
          <w:sz w:val="24"/>
          <w:szCs w:val="24"/>
        </w:rPr>
        <w:t>protection</w:t>
      </w:r>
      <w:r w:rsidR="009342E9" w:rsidRPr="00242F03">
        <w:rPr>
          <w:rFonts w:ascii="Arial" w:hAnsi="Arial" w:cs="Arial"/>
          <w:sz w:val="24"/>
          <w:szCs w:val="24"/>
        </w:rPr>
        <w:t xml:space="preserve"> </w:t>
      </w:r>
      <w:r w:rsidR="009342E9">
        <w:rPr>
          <w:rFonts w:ascii="Arial" w:hAnsi="Arial" w:cs="Arial"/>
          <w:sz w:val="24"/>
          <w:szCs w:val="24"/>
        </w:rPr>
        <w:t xml:space="preserve">plan will be populated at the meeting </w:t>
      </w:r>
      <w:r w:rsidR="009342E9" w:rsidRPr="00242F03">
        <w:rPr>
          <w:rFonts w:ascii="Arial" w:hAnsi="Arial" w:cs="Arial"/>
          <w:sz w:val="24"/>
          <w:szCs w:val="24"/>
        </w:rPr>
        <w:t>and circulated to all participants and key actions and contingencies recorded on profile notes.</w:t>
      </w:r>
    </w:p>
    <w:p w14:paraId="348CE192" w14:textId="77777777" w:rsidR="009342E9" w:rsidRDefault="009342E9" w:rsidP="009342E9">
      <w:pPr>
        <w:rPr>
          <w:rFonts w:ascii="Arial" w:hAnsi="Arial" w:cs="Arial"/>
          <w:sz w:val="24"/>
          <w:szCs w:val="24"/>
        </w:rPr>
      </w:pPr>
      <w:r w:rsidRPr="000C1DB3">
        <w:rPr>
          <w:rFonts w:ascii="Arial" w:hAnsi="Arial" w:cs="Arial"/>
          <w:sz w:val="24"/>
          <w:szCs w:val="24"/>
        </w:rPr>
        <w:t xml:space="preserve">The </w:t>
      </w:r>
      <w:r>
        <w:rPr>
          <w:rFonts w:ascii="Arial" w:hAnsi="Arial" w:cs="Arial"/>
          <w:sz w:val="24"/>
          <w:szCs w:val="24"/>
        </w:rPr>
        <w:t xml:space="preserve">proposed actions </w:t>
      </w:r>
      <w:r w:rsidRPr="000C1DB3">
        <w:rPr>
          <w:rFonts w:ascii="Arial" w:hAnsi="Arial" w:cs="Arial"/>
          <w:sz w:val="24"/>
          <w:szCs w:val="24"/>
        </w:rPr>
        <w:t>and who will complete these</w:t>
      </w:r>
      <w:r>
        <w:rPr>
          <w:rFonts w:ascii="Arial" w:hAnsi="Arial" w:cs="Arial"/>
          <w:sz w:val="24"/>
          <w:szCs w:val="24"/>
        </w:rPr>
        <w:t xml:space="preserve"> will be agreed, with timescales. (For</w:t>
      </w:r>
      <w:r w:rsidRPr="000C1DB3">
        <w:rPr>
          <w:rFonts w:ascii="Arial" w:hAnsi="Arial" w:cs="Arial"/>
          <w:sz w:val="24"/>
          <w:szCs w:val="24"/>
        </w:rPr>
        <w:t xml:space="preserve"> example request an assessment of capacity).</w:t>
      </w:r>
      <w:r>
        <w:rPr>
          <w:rFonts w:ascii="Arial" w:hAnsi="Arial" w:cs="Arial"/>
          <w:sz w:val="24"/>
          <w:szCs w:val="24"/>
        </w:rPr>
        <w:t xml:space="preserve"> The standard Protection Plan template will be used to record actions.</w:t>
      </w:r>
    </w:p>
    <w:p w14:paraId="1BB67688" w14:textId="77777777" w:rsidR="009342E9" w:rsidRDefault="009342E9" w:rsidP="009342E9">
      <w:pPr>
        <w:rPr>
          <w:rFonts w:ascii="Arial" w:hAnsi="Arial" w:cs="Arial"/>
          <w:sz w:val="24"/>
          <w:szCs w:val="24"/>
        </w:rPr>
      </w:pPr>
      <w:r>
        <w:rPr>
          <w:rFonts w:ascii="Arial" w:hAnsi="Arial" w:cs="Arial"/>
          <w:sz w:val="24"/>
          <w:szCs w:val="24"/>
        </w:rPr>
        <w:t>Consider Undue Pressure: is there an influence on the adult from another source which is encouraging the adult to decline support. Any evidence of this would support use of protection orders (banning order) in order to support the adult at risk receive support or protection without the undue influence of a third party.</w:t>
      </w:r>
    </w:p>
    <w:p w14:paraId="41EE06BD" w14:textId="77777777" w:rsidR="009342E9" w:rsidRDefault="00EA534B" w:rsidP="009342E9">
      <w:pPr>
        <w:rPr>
          <w:rFonts w:ascii="Arial" w:hAnsi="Arial" w:cs="Arial"/>
          <w:sz w:val="24"/>
          <w:szCs w:val="24"/>
        </w:rPr>
      </w:pPr>
      <w:r>
        <w:rPr>
          <w:rFonts w:ascii="Arial" w:hAnsi="Arial" w:cs="Arial"/>
          <w:sz w:val="24"/>
          <w:szCs w:val="24"/>
        </w:rPr>
        <w:t xml:space="preserve">Engagement Escalation </w:t>
      </w:r>
      <w:r w:rsidR="009342E9">
        <w:rPr>
          <w:rFonts w:ascii="Arial" w:hAnsi="Arial" w:cs="Arial"/>
          <w:sz w:val="24"/>
          <w:szCs w:val="24"/>
        </w:rPr>
        <w:t>Meetings will continue until there is consensus that the level of engagement has increased and level of risk has decreased to a point where the adult no longer meets the Engagement Escalation criteria. As previously indicated it is anticipated that the process of building a rapport that provides the means to support a reduction in risk may take some time. The frequency of meetings should align with ASP Case Conference process</w:t>
      </w:r>
      <w:r w:rsidR="00697068">
        <w:rPr>
          <w:rFonts w:ascii="Arial" w:hAnsi="Arial" w:cs="Arial"/>
          <w:sz w:val="24"/>
          <w:szCs w:val="24"/>
        </w:rPr>
        <w:t xml:space="preserve"> (at 3 monthly intervals)</w:t>
      </w:r>
      <w:r w:rsidR="009342E9">
        <w:rPr>
          <w:rFonts w:ascii="Arial" w:hAnsi="Arial" w:cs="Arial"/>
          <w:sz w:val="24"/>
          <w:szCs w:val="24"/>
        </w:rPr>
        <w:t xml:space="preserve">, however engagement between the single point of contact and adult will be commensurate with needs of the adult and risks identified. </w:t>
      </w:r>
    </w:p>
    <w:p w14:paraId="63855780" w14:textId="77777777" w:rsidR="009342E9" w:rsidRPr="00BC42FD" w:rsidRDefault="009342E9" w:rsidP="009342E9">
      <w:pPr>
        <w:rPr>
          <w:rFonts w:ascii="Arial" w:hAnsi="Arial" w:cs="Arial"/>
          <w:b/>
          <w:sz w:val="24"/>
          <w:szCs w:val="24"/>
        </w:rPr>
      </w:pPr>
      <w:r w:rsidRPr="00BC42FD">
        <w:rPr>
          <w:rFonts w:ascii="Arial" w:hAnsi="Arial" w:cs="Arial"/>
          <w:b/>
          <w:sz w:val="24"/>
          <w:szCs w:val="24"/>
        </w:rPr>
        <w:t xml:space="preserve">Criteria for Success and ending of </w:t>
      </w:r>
      <w:r>
        <w:rPr>
          <w:rFonts w:ascii="Arial" w:hAnsi="Arial" w:cs="Arial"/>
          <w:b/>
          <w:sz w:val="24"/>
          <w:szCs w:val="24"/>
        </w:rPr>
        <w:t xml:space="preserve">the escalation </w:t>
      </w:r>
      <w:r w:rsidRPr="00BC42FD">
        <w:rPr>
          <w:rFonts w:ascii="Arial" w:hAnsi="Arial" w:cs="Arial"/>
          <w:b/>
          <w:sz w:val="24"/>
          <w:szCs w:val="24"/>
        </w:rPr>
        <w:t>process:</w:t>
      </w:r>
    </w:p>
    <w:p w14:paraId="0D7AB759" w14:textId="77777777" w:rsidR="009342E9" w:rsidRDefault="009342E9" w:rsidP="009342E9">
      <w:pPr>
        <w:pStyle w:val="ListParagraph"/>
        <w:numPr>
          <w:ilvl w:val="0"/>
          <w:numId w:val="3"/>
        </w:numPr>
        <w:rPr>
          <w:rFonts w:ascii="Arial" w:hAnsi="Arial" w:cs="Arial"/>
          <w:sz w:val="24"/>
          <w:szCs w:val="24"/>
        </w:rPr>
      </w:pPr>
      <w:r>
        <w:rPr>
          <w:rFonts w:ascii="Arial" w:hAnsi="Arial" w:cs="Arial"/>
          <w:sz w:val="24"/>
          <w:szCs w:val="24"/>
        </w:rPr>
        <w:t>The engagement escalation protocol will cease when the adult no longer meets the criteria on the basis the adult is no longer at risk of</w:t>
      </w:r>
      <w:r w:rsidRPr="004F4610">
        <w:rPr>
          <w:rFonts w:ascii="Arial" w:hAnsi="Arial" w:cs="Arial"/>
          <w:b/>
          <w:sz w:val="24"/>
          <w:szCs w:val="24"/>
        </w:rPr>
        <w:t xml:space="preserve"> serious</w:t>
      </w:r>
      <w:r>
        <w:rPr>
          <w:rFonts w:ascii="Arial" w:hAnsi="Arial" w:cs="Arial"/>
          <w:sz w:val="24"/>
          <w:szCs w:val="24"/>
        </w:rPr>
        <w:t xml:space="preserve"> harm. Therefore it is of paramount importance that defensible decision making is clearly recorded. </w:t>
      </w:r>
    </w:p>
    <w:p w14:paraId="37D88FC0" w14:textId="77777777" w:rsidR="009342E9" w:rsidRDefault="009342E9" w:rsidP="009342E9">
      <w:pPr>
        <w:pStyle w:val="ListParagraph"/>
        <w:numPr>
          <w:ilvl w:val="0"/>
          <w:numId w:val="3"/>
        </w:numPr>
        <w:rPr>
          <w:rFonts w:ascii="Arial" w:hAnsi="Arial" w:cs="Arial"/>
          <w:sz w:val="24"/>
          <w:szCs w:val="24"/>
        </w:rPr>
      </w:pPr>
      <w:r>
        <w:rPr>
          <w:rFonts w:ascii="Arial" w:hAnsi="Arial" w:cs="Arial"/>
          <w:sz w:val="24"/>
          <w:szCs w:val="24"/>
        </w:rPr>
        <w:t>At this stage it is possible the adult may still meet the criteria for an adult at risk and therefore “standard” adult support and protection practice would resume, but there will no longer be a requirement to report to the escalation oversight group. Standard adult support and protection process is likely to be the maintenance and monitoring of the protection plan formulated during the engagement escalation meeting process, and therefore likely to follow the case conference, core group and case conference review process/cycle.</w:t>
      </w:r>
      <w:r>
        <w:rPr>
          <w:rStyle w:val="FootnoteReference"/>
          <w:rFonts w:ascii="Arial" w:hAnsi="Arial" w:cs="Arial"/>
          <w:sz w:val="24"/>
          <w:szCs w:val="24"/>
        </w:rPr>
        <w:footnoteReference w:id="3"/>
      </w:r>
      <w:r>
        <w:rPr>
          <w:rFonts w:ascii="Arial" w:hAnsi="Arial" w:cs="Arial"/>
          <w:sz w:val="24"/>
          <w:szCs w:val="24"/>
        </w:rPr>
        <w:t xml:space="preserve"> It will be important to maintain and build on the engagement the adult is participating with.</w:t>
      </w:r>
    </w:p>
    <w:p w14:paraId="0A0F77FE" w14:textId="77777777" w:rsidR="009342E9" w:rsidRDefault="009342E9" w:rsidP="009342E9">
      <w:pPr>
        <w:pStyle w:val="ListParagraph"/>
        <w:numPr>
          <w:ilvl w:val="0"/>
          <w:numId w:val="3"/>
        </w:numPr>
        <w:rPr>
          <w:rFonts w:ascii="Arial" w:hAnsi="Arial" w:cs="Arial"/>
          <w:sz w:val="24"/>
          <w:szCs w:val="24"/>
        </w:rPr>
      </w:pPr>
      <w:r>
        <w:rPr>
          <w:rFonts w:ascii="Arial" w:hAnsi="Arial" w:cs="Arial"/>
          <w:sz w:val="24"/>
          <w:szCs w:val="24"/>
        </w:rPr>
        <w:t xml:space="preserve">When it is agreed that the adult no longer meets the 3 point criteria of an adult at risk then it is possible that the single point of contact or the most appropriate agency will maintain links with the adult </w:t>
      </w:r>
    </w:p>
    <w:p w14:paraId="0E7B0A71" w14:textId="77777777" w:rsidR="009342E9" w:rsidRPr="00EE4D54" w:rsidRDefault="009342E9" w:rsidP="009342E9">
      <w:pPr>
        <w:rPr>
          <w:rFonts w:ascii="Arial" w:hAnsi="Arial" w:cs="Arial"/>
          <w:sz w:val="24"/>
          <w:szCs w:val="24"/>
        </w:rPr>
      </w:pPr>
      <w:r>
        <w:rPr>
          <w:rFonts w:ascii="Arial" w:hAnsi="Arial" w:cs="Arial"/>
          <w:sz w:val="24"/>
          <w:szCs w:val="24"/>
        </w:rPr>
        <w:lastRenderedPageBreak/>
        <w:t>Where there is no consensus that the Engagement Escalation Protocol can end, which cannot be resolved through discussion, the process should continue, while reference to the ASPC Dispute Resolution Protocol</w:t>
      </w:r>
      <w:r>
        <w:rPr>
          <w:rStyle w:val="FootnoteReference"/>
          <w:rFonts w:ascii="Arial" w:hAnsi="Arial" w:cs="Arial"/>
          <w:sz w:val="24"/>
          <w:szCs w:val="24"/>
        </w:rPr>
        <w:footnoteReference w:id="4"/>
      </w:r>
      <w:r>
        <w:rPr>
          <w:rFonts w:ascii="Arial" w:hAnsi="Arial" w:cs="Arial"/>
          <w:sz w:val="24"/>
          <w:szCs w:val="24"/>
        </w:rPr>
        <w:t xml:space="preserve"> is pursued.  </w:t>
      </w:r>
    </w:p>
    <w:p w14:paraId="214C4940" w14:textId="77777777" w:rsidR="009342E9" w:rsidRDefault="009342E9" w:rsidP="009342E9">
      <w:pPr>
        <w:rPr>
          <w:rFonts w:ascii="Arial" w:hAnsi="Arial" w:cs="Arial"/>
          <w:b/>
          <w:sz w:val="24"/>
          <w:szCs w:val="24"/>
        </w:rPr>
      </w:pPr>
      <w:r>
        <w:rPr>
          <w:rFonts w:ascii="Arial" w:hAnsi="Arial" w:cs="Arial"/>
          <w:b/>
          <w:sz w:val="24"/>
          <w:szCs w:val="24"/>
        </w:rPr>
        <w:t xml:space="preserve">After/between </w:t>
      </w:r>
      <w:r w:rsidR="00F74D1E">
        <w:rPr>
          <w:rFonts w:ascii="Arial" w:hAnsi="Arial" w:cs="Arial"/>
          <w:b/>
          <w:sz w:val="24"/>
          <w:szCs w:val="24"/>
        </w:rPr>
        <w:t xml:space="preserve">Engagement Escalation </w:t>
      </w:r>
      <w:r>
        <w:rPr>
          <w:rFonts w:ascii="Arial" w:hAnsi="Arial" w:cs="Arial"/>
          <w:b/>
          <w:sz w:val="24"/>
          <w:szCs w:val="24"/>
        </w:rPr>
        <w:t>m</w:t>
      </w:r>
      <w:r w:rsidRPr="00862E3F">
        <w:rPr>
          <w:rFonts w:ascii="Arial" w:hAnsi="Arial" w:cs="Arial"/>
          <w:b/>
          <w:sz w:val="24"/>
          <w:szCs w:val="24"/>
        </w:rPr>
        <w:t>eeting</w:t>
      </w:r>
      <w:r>
        <w:rPr>
          <w:rFonts w:ascii="Arial" w:hAnsi="Arial" w:cs="Arial"/>
          <w:b/>
          <w:sz w:val="24"/>
          <w:szCs w:val="24"/>
        </w:rPr>
        <w:t>s:</w:t>
      </w:r>
      <w:r w:rsidRPr="00862E3F">
        <w:rPr>
          <w:rFonts w:ascii="Arial" w:hAnsi="Arial" w:cs="Arial"/>
          <w:b/>
          <w:sz w:val="24"/>
          <w:szCs w:val="24"/>
        </w:rPr>
        <w:t xml:space="preserve"> </w:t>
      </w:r>
    </w:p>
    <w:p w14:paraId="06A2D892" w14:textId="77777777" w:rsidR="009342E9" w:rsidRDefault="009342E9" w:rsidP="009342E9">
      <w:pPr>
        <w:rPr>
          <w:rFonts w:ascii="Arial" w:hAnsi="Arial" w:cs="Arial"/>
          <w:sz w:val="24"/>
          <w:szCs w:val="24"/>
        </w:rPr>
      </w:pPr>
      <w:r w:rsidRPr="000C1DB3">
        <w:rPr>
          <w:rFonts w:ascii="Arial" w:hAnsi="Arial" w:cs="Arial"/>
          <w:sz w:val="24"/>
          <w:szCs w:val="24"/>
        </w:rPr>
        <w:t>The circulation and maintenance of the inter-agency chronology and checklist is the responsibility of the allocated social worker who will ensure it is circulated between meetings so all updates can be captured for discussion at the following meeting.</w:t>
      </w:r>
    </w:p>
    <w:p w14:paraId="1D1F9229" w14:textId="01F25C31" w:rsidR="00EA534B" w:rsidRPr="00625D48" w:rsidRDefault="009342E9" w:rsidP="009342E9">
      <w:pPr>
        <w:rPr>
          <w:rFonts w:ascii="Arial" w:hAnsi="Arial" w:cs="Arial"/>
          <w:sz w:val="24"/>
          <w:szCs w:val="24"/>
        </w:rPr>
      </w:pPr>
      <w:r>
        <w:rPr>
          <w:rFonts w:ascii="Arial" w:hAnsi="Arial" w:cs="Arial"/>
          <w:sz w:val="24"/>
          <w:szCs w:val="24"/>
        </w:rPr>
        <w:t xml:space="preserve">As the worker acting as the single point of contact may have significant engagement or attempts at engagement with the adult between </w:t>
      </w:r>
      <w:r w:rsidRPr="00625D48">
        <w:rPr>
          <w:rFonts w:ascii="Arial" w:hAnsi="Arial" w:cs="Arial"/>
          <w:sz w:val="24"/>
          <w:szCs w:val="24"/>
        </w:rPr>
        <w:t xml:space="preserve">meetings </w:t>
      </w:r>
      <w:r>
        <w:rPr>
          <w:rFonts w:ascii="Arial" w:hAnsi="Arial" w:cs="Arial"/>
          <w:sz w:val="24"/>
          <w:szCs w:val="24"/>
        </w:rPr>
        <w:t xml:space="preserve">an agreement about a process for </w:t>
      </w:r>
      <w:r w:rsidRPr="00625D48">
        <w:rPr>
          <w:rFonts w:ascii="Arial" w:hAnsi="Arial" w:cs="Arial"/>
          <w:sz w:val="24"/>
          <w:szCs w:val="24"/>
        </w:rPr>
        <w:t>reporting/info</w:t>
      </w:r>
      <w:r>
        <w:rPr>
          <w:rFonts w:ascii="Arial" w:hAnsi="Arial" w:cs="Arial"/>
          <w:sz w:val="24"/>
          <w:szCs w:val="24"/>
        </w:rPr>
        <w:t>rmation</w:t>
      </w:r>
      <w:r w:rsidRPr="00625D48">
        <w:rPr>
          <w:rFonts w:ascii="Arial" w:hAnsi="Arial" w:cs="Arial"/>
          <w:sz w:val="24"/>
          <w:szCs w:val="24"/>
        </w:rPr>
        <w:t xml:space="preserve"> sharing with EEOG</w:t>
      </w:r>
      <w:r>
        <w:rPr>
          <w:rFonts w:ascii="Arial" w:hAnsi="Arial" w:cs="Arial"/>
          <w:sz w:val="24"/>
          <w:szCs w:val="24"/>
        </w:rPr>
        <w:t xml:space="preserve"> members must be agreed and pursued.</w:t>
      </w:r>
    </w:p>
    <w:p w14:paraId="5F370117" w14:textId="77777777" w:rsidR="009342E9" w:rsidRPr="00EE116C" w:rsidRDefault="009342E9" w:rsidP="009342E9">
      <w:pPr>
        <w:rPr>
          <w:rFonts w:ascii="Arial" w:hAnsi="Arial" w:cs="Arial"/>
          <w:sz w:val="24"/>
          <w:szCs w:val="24"/>
        </w:rPr>
      </w:pPr>
      <w:r>
        <w:rPr>
          <w:rFonts w:ascii="Arial" w:hAnsi="Arial" w:cs="Arial"/>
          <w:sz w:val="24"/>
          <w:szCs w:val="24"/>
        </w:rPr>
        <w:t>It will also be important that there is appropriate b</w:t>
      </w:r>
      <w:r w:rsidRPr="00625D48">
        <w:rPr>
          <w:rFonts w:ascii="Arial" w:hAnsi="Arial" w:cs="Arial"/>
          <w:sz w:val="24"/>
          <w:szCs w:val="24"/>
        </w:rPr>
        <w:t>etween meeting support for SPOC, as necessary</w:t>
      </w:r>
      <w:r>
        <w:rPr>
          <w:rFonts w:ascii="Arial" w:hAnsi="Arial" w:cs="Arial"/>
          <w:sz w:val="24"/>
          <w:szCs w:val="24"/>
        </w:rPr>
        <w:t>, as this intensive and challenging activity will require sensitive debriefing.</w:t>
      </w:r>
    </w:p>
    <w:p w14:paraId="5C31B329" w14:textId="77777777" w:rsidR="009342E9" w:rsidRPr="002560D4" w:rsidRDefault="009342E9" w:rsidP="009342E9">
      <w:pPr>
        <w:rPr>
          <w:rFonts w:ascii="Arial" w:hAnsi="Arial" w:cs="Arial"/>
          <w:b/>
          <w:sz w:val="24"/>
          <w:szCs w:val="24"/>
        </w:rPr>
      </w:pPr>
      <w:r w:rsidRPr="002560D4">
        <w:rPr>
          <w:rFonts w:ascii="Arial" w:hAnsi="Arial" w:cs="Arial"/>
          <w:b/>
          <w:sz w:val="24"/>
          <w:szCs w:val="24"/>
        </w:rPr>
        <w:t>Working with the adult:</w:t>
      </w:r>
    </w:p>
    <w:p w14:paraId="79B303A2" w14:textId="77777777" w:rsidR="009342E9" w:rsidRDefault="009342E9" w:rsidP="009342E9">
      <w:pPr>
        <w:rPr>
          <w:rFonts w:ascii="Arial" w:hAnsi="Arial" w:cs="Arial"/>
          <w:sz w:val="24"/>
          <w:szCs w:val="24"/>
        </w:rPr>
      </w:pPr>
      <w:r>
        <w:rPr>
          <w:rFonts w:ascii="Arial" w:hAnsi="Arial" w:cs="Arial"/>
          <w:sz w:val="24"/>
          <w:szCs w:val="24"/>
        </w:rPr>
        <w:t>A single point of contact (</w:t>
      </w:r>
      <w:r w:rsidRPr="002560D4">
        <w:rPr>
          <w:rFonts w:ascii="Arial" w:hAnsi="Arial" w:cs="Arial"/>
          <w:sz w:val="24"/>
          <w:szCs w:val="24"/>
        </w:rPr>
        <w:t>SPOC</w:t>
      </w:r>
      <w:r>
        <w:rPr>
          <w:rFonts w:ascii="Arial" w:hAnsi="Arial" w:cs="Arial"/>
          <w:sz w:val="24"/>
          <w:szCs w:val="24"/>
        </w:rPr>
        <w:t>)</w:t>
      </w:r>
      <w:r w:rsidRPr="002560D4">
        <w:rPr>
          <w:rFonts w:ascii="Arial" w:hAnsi="Arial" w:cs="Arial"/>
          <w:sz w:val="24"/>
          <w:szCs w:val="24"/>
        </w:rPr>
        <w:t xml:space="preserve"> that the adult has some relationship with or one who is tasked with making a bridge</w:t>
      </w:r>
      <w:r>
        <w:rPr>
          <w:rFonts w:ascii="Arial" w:hAnsi="Arial" w:cs="Arial"/>
          <w:sz w:val="24"/>
          <w:szCs w:val="24"/>
        </w:rPr>
        <w:t xml:space="preserve"> must be identified</w:t>
      </w:r>
      <w:r w:rsidRPr="002560D4">
        <w:rPr>
          <w:rFonts w:ascii="Arial" w:hAnsi="Arial" w:cs="Arial"/>
          <w:sz w:val="24"/>
          <w:szCs w:val="24"/>
        </w:rPr>
        <w:t>. T</w:t>
      </w:r>
      <w:r>
        <w:rPr>
          <w:rFonts w:ascii="Arial" w:hAnsi="Arial" w:cs="Arial"/>
          <w:sz w:val="24"/>
          <w:szCs w:val="24"/>
        </w:rPr>
        <w:t>his person then is the constant;</w:t>
      </w:r>
      <w:r w:rsidRPr="002560D4">
        <w:rPr>
          <w:rFonts w:ascii="Arial" w:hAnsi="Arial" w:cs="Arial"/>
          <w:sz w:val="24"/>
          <w:szCs w:val="24"/>
        </w:rPr>
        <w:t xml:space="preserve"> the conduit between the </w:t>
      </w:r>
      <w:r>
        <w:rPr>
          <w:rFonts w:ascii="Arial" w:hAnsi="Arial" w:cs="Arial"/>
          <w:sz w:val="24"/>
          <w:szCs w:val="24"/>
        </w:rPr>
        <w:t xml:space="preserve">engagement </w:t>
      </w:r>
      <w:r w:rsidRPr="002560D4">
        <w:rPr>
          <w:rFonts w:ascii="Arial" w:hAnsi="Arial" w:cs="Arial"/>
          <w:sz w:val="24"/>
          <w:szCs w:val="24"/>
        </w:rPr>
        <w:t>e</w:t>
      </w:r>
      <w:r>
        <w:rPr>
          <w:rFonts w:ascii="Arial" w:hAnsi="Arial" w:cs="Arial"/>
          <w:sz w:val="24"/>
          <w:szCs w:val="24"/>
        </w:rPr>
        <w:t>s</w:t>
      </w:r>
      <w:r w:rsidRPr="002560D4">
        <w:rPr>
          <w:rFonts w:ascii="Arial" w:hAnsi="Arial" w:cs="Arial"/>
          <w:sz w:val="24"/>
          <w:szCs w:val="24"/>
        </w:rPr>
        <w:t>calation oversight group and the a</w:t>
      </w:r>
      <w:r>
        <w:rPr>
          <w:rFonts w:ascii="Arial" w:hAnsi="Arial" w:cs="Arial"/>
          <w:sz w:val="24"/>
          <w:szCs w:val="24"/>
        </w:rPr>
        <w:t>dult</w:t>
      </w:r>
      <w:r w:rsidRPr="002560D4">
        <w:rPr>
          <w:rFonts w:ascii="Arial" w:hAnsi="Arial" w:cs="Arial"/>
          <w:sz w:val="24"/>
          <w:szCs w:val="24"/>
        </w:rPr>
        <w:t xml:space="preserve">. </w:t>
      </w:r>
      <w:r>
        <w:rPr>
          <w:rFonts w:ascii="Arial" w:hAnsi="Arial" w:cs="Arial"/>
          <w:sz w:val="24"/>
          <w:szCs w:val="24"/>
        </w:rPr>
        <w:t>This person may also provide the bridge between the adult and other professionals as necessary.</w:t>
      </w:r>
    </w:p>
    <w:p w14:paraId="639F5297" w14:textId="590AF561" w:rsidR="009342E9" w:rsidRPr="000E2018" w:rsidRDefault="009342E9" w:rsidP="009342E9">
      <w:pPr>
        <w:rPr>
          <w:rFonts w:ascii="Arial" w:hAnsi="Arial" w:cs="Arial"/>
          <w:sz w:val="24"/>
          <w:szCs w:val="24"/>
        </w:rPr>
      </w:pPr>
      <w:r w:rsidRPr="002560D4">
        <w:rPr>
          <w:rFonts w:ascii="Arial" w:hAnsi="Arial" w:cs="Arial"/>
          <w:sz w:val="24"/>
          <w:szCs w:val="24"/>
        </w:rPr>
        <w:t xml:space="preserve">It is likely that the options for support may need to be broken down into smaller chunks or progressions which may afford the adult the opportunity to engage with an approach which is </w:t>
      </w:r>
      <w:r w:rsidR="00AB5FFE">
        <w:rPr>
          <w:rFonts w:ascii="Arial" w:hAnsi="Arial" w:cs="Arial"/>
          <w:sz w:val="24"/>
          <w:szCs w:val="24"/>
        </w:rPr>
        <w:t>manageable for them to process.</w:t>
      </w:r>
      <w:r w:rsidR="00AB5FFE" w:rsidRPr="000E2018">
        <w:rPr>
          <w:rFonts w:ascii="Arial" w:hAnsi="Arial" w:cs="Arial"/>
          <w:sz w:val="24"/>
          <w:szCs w:val="24"/>
        </w:rPr>
        <w:t xml:space="preserve"> </w:t>
      </w:r>
    </w:p>
    <w:p w14:paraId="723044B1" w14:textId="77777777" w:rsidR="009342E9" w:rsidRDefault="009342E9" w:rsidP="009342E9">
      <w:pPr>
        <w:rPr>
          <w:rFonts w:ascii="Arial" w:hAnsi="Arial" w:cs="Arial"/>
          <w:sz w:val="24"/>
          <w:szCs w:val="24"/>
        </w:rPr>
      </w:pPr>
      <w:r>
        <w:rPr>
          <w:rFonts w:ascii="Arial" w:hAnsi="Arial" w:cs="Arial"/>
          <w:sz w:val="24"/>
          <w:szCs w:val="24"/>
        </w:rPr>
        <w:t xml:space="preserve">Practical barriers to the adult’s engagement opportunities should be considered and solutions offered; for example access to transport to attend, time of day for visits. </w:t>
      </w:r>
    </w:p>
    <w:p w14:paraId="40C83256" w14:textId="77777777" w:rsidR="009342E9" w:rsidRDefault="00EA534B" w:rsidP="009342E9">
      <w:pPr>
        <w:rPr>
          <w:rFonts w:ascii="Arial" w:hAnsi="Arial" w:cs="Arial"/>
          <w:sz w:val="24"/>
          <w:szCs w:val="24"/>
        </w:rPr>
      </w:pPr>
      <w:r>
        <w:rPr>
          <w:rFonts w:ascii="Arial" w:hAnsi="Arial" w:cs="Arial"/>
          <w:sz w:val="24"/>
          <w:szCs w:val="24"/>
        </w:rPr>
        <w:t>While the Engagement Escalation</w:t>
      </w:r>
      <w:r w:rsidR="009342E9">
        <w:rPr>
          <w:rFonts w:ascii="Arial" w:hAnsi="Arial" w:cs="Arial"/>
          <w:sz w:val="24"/>
          <w:szCs w:val="24"/>
        </w:rPr>
        <w:t xml:space="preserve"> meetings are an important part of addressing the challenges presented in working positively with individuals at risk of serious harm, the real action is likely to be on a 1-2-1 basis with the adult, working at their pace to achieve and maintain small goals. This will require “stickability” from which ever member of staff from which ever agency the adult has established some kind of positive relationship. Support from line management will be required for staff providing this level of protracted engagement attempts.</w:t>
      </w:r>
    </w:p>
    <w:p w14:paraId="5B3FE6C8" w14:textId="77777777" w:rsidR="009342E9" w:rsidRPr="00BC42FD" w:rsidRDefault="009342E9" w:rsidP="009342E9">
      <w:pPr>
        <w:rPr>
          <w:rFonts w:ascii="Arial" w:hAnsi="Arial" w:cs="Arial"/>
          <w:sz w:val="24"/>
          <w:szCs w:val="24"/>
        </w:rPr>
      </w:pPr>
      <w:r>
        <w:rPr>
          <w:rFonts w:ascii="Arial" w:hAnsi="Arial" w:cs="Arial"/>
          <w:sz w:val="24"/>
          <w:szCs w:val="24"/>
        </w:rPr>
        <w:t xml:space="preserve">The remaining inter-agency professionals will operate through this conduit to achieve a position where the adult is no longer at risk of serious harm and is engaged </w:t>
      </w:r>
      <w:r>
        <w:rPr>
          <w:rFonts w:ascii="Arial" w:hAnsi="Arial" w:cs="Arial"/>
          <w:sz w:val="24"/>
          <w:szCs w:val="24"/>
        </w:rPr>
        <w:lastRenderedPageBreak/>
        <w:t>sufficiently that the overall risk has reduced to a position where the escalation process can be withdrawn, though some agency engagement may persist.</w:t>
      </w:r>
    </w:p>
    <w:p w14:paraId="3D8562D2" w14:textId="77777777" w:rsidR="009342E9" w:rsidRPr="00BC42FD" w:rsidRDefault="009342E9" w:rsidP="009342E9">
      <w:pPr>
        <w:rPr>
          <w:rFonts w:ascii="Arial" w:hAnsi="Arial" w:cs="Arial"/>
          <w:b/>
          <w:sz w:val="24"/>
          <w:szCs w:val="24"/>
        </w:rPr>
      </w:pPr>
      <w:r w:rsidRPr="00BC42FD">
        <w:rPr>
          <w:rFonts w:ascii="Arial" w:hAnsi="Arial" w:cs="Arial"/>
          <w:b/>
          <w:sz w:val="24"/>
          <w:szCs w:val="24"/>
        </w:rPr>
        <w:t>Strategies for engag</w:t>
      </w:r>
      <w:r>
        <w:rPr>
          <w:rFonts w:ascii="Arial" w:hAnsi="Arial" w:cs="Arial"/>
          <w:b/>
          <w:sz w:val="24"/>
          <w:szCs w:val="24"/>
        </w:rPr>
        <w:t>ing</w:t>
      </w:r>
      <w:r w:rsidRPr="00BC42FD">
        <w:rPr>
          <w:rFonts w:ascii="Arial" w:hAnsi="Arial" w:cs="Arial"/>
          <w:b/>
          <w:sz w:val="24"/>
          <w:szCs w:val="24"/>
        </w:rPr>
        <w:t xml:space="preserve"> </w:t>
      </w:r>
      <w:r>
        <w:rPr>
          <w:rFonts w:ascii="Arial" w:hAnsi="Arial" w:cs="Arial"/>
          <w:b/>
          <w:sz w:val="24"/>
          <w:szCs w:val="24"/>
        </w:rPr>
        <w:t xml:space="preserve">with the </w:t>
      </w:r>
      <w:r w:rsidRPr="00BC42FD">
        <w:rPr>
          <w:rFonts w:ascii="Arial" w:hAnsi="Arial" w:cs="Arial"/>
          <w:b/>
          <w:sz w:val="24"/>
          <w:szCs w:val="24"/>
        </w:rPr>
        <w:t>adult</w:t>
      </w:r>
    </w:p>
    <w:p w14:paraId="412CD5CD" w14:textId="77777777" w:rsidR="009342E9" w:rsidRDefault="009342E9" w:rsidP="009342E9">
      <w:pPr>
        <w:rPr>
          <w:rFonts w:ascii="Arial" w:hAnsi="Arial" w:cs="Arial"/>
          <w:sz w:val="24"/>
          <w:szCs w:val="24"/>
        </w:rPr>
      </w:pPr>
      <w:r>
        <w:rPr>
          <w:rFonts w:ascii="Arial" w:hAnsi="Arial" w:cs="Arial"/>
          <w:sz w:val="24"/>
          <w:szCs w:val="24"/>
        </w:rPr>
        <w:t>The single point of contact will be someone who may already be known to the adult, who may be more likely build a rapport with the adult.</w:t>
      </w:r>
    </w:p>
    <w:p w14:paraId="7012E632" w14:textId="77777777" w:rsidR="009342E9" w:rsidRDefault="009342E9" w:rsidP="009342E9">
      <w:pPr>
        <w:rPr>
          <w:rFonts w:ascii="Arial" w:hAnsi="Arial" w:cs="Arial"/>
          <w:sz w:val="24"/>
          <w:szCs w:val="24"/>
        </w:rPr>
      </w:pPr>
      <w:r>
        <w:rPr>
          <w:rFonts w:ascii="Arial" w:hAnsi="Arial" w:cs="Arial"/>
          <w:sz w:val="24"/>
          <w:szCs w:val="24"/>
        </w:rPr>
        <w:t>There will be a need to work at the adult’s pace, recognising and building on demonstrations of cooperation. First steps should be about safety; other issues can be addressed later.</w:t>
      </w:r>
    </w:p>
    <w:p w14:paraId="20160C5E" w14:textId="77777777" w:rsidR="009342E9" w:rsidRPr="00FE5035" w:rsidRDefault="009342E9" w:rsidP="009342E9">
      <w:pPr>
        <w:rPr>
          <w:rFonts w:ascii="Arial" w:hAnsi="Arial" w:cs="Arial"/>
          <w:sz w:val="24"/>
          <w:szCs w:val="24"/>
        </w:rPr>
      </w:pPr>
      <w:r>
        <w:rPr>
          <w:rFonts w:ascii="Arial" w:hAnsi="Arial" w:cs="Arial"/>
          <w:sz w:val="24"/>
          <w:szCs w:val="24"/>
        </w:rPr>
        <w:t>Approaches that have worked well are where there is an offer of practical support to begin to build trust. Establish if there are days or times that the adult is more receptive to engagement and make arrangements when it’s likely the adult will be at their most receptive.</w:t>
      </w:r>
    </w:p>
    <w:p w14:paraId="08E543E6" w14:textId="77777777" w:rsidR="009342E9" w:rsidRDefault="009342E9" w:rsidP="009342E9">
      <w:pPr>
        <w:rPr>
          <w:rFonts w:ascii="Arial" w:hAnsi="Arial" w:cs="Arial"/>
          <w:sz w:val="24"/>
          <w:szCs w:val="24"/>
        </w:rPr>
      </w:pPr>
      <w:r>
        <w:rPr>
          <w:rFonts w:ascii="Arial" w:hAnsi="Arial" w:cs="Arial"/>
          <w:sz w:val="24"/>
          <w:szCs w:val="24"/>
        </w:rPr>
        <w:t xml:space="preserve">It is unlikely there will be rapid progress and the worker will require flexibility of approach, resilience and patience. </w:t>
      </w:r>
      <w:r w:rsidRPr="00FE5035">
        <w:rPr>
          <w:rFonts w:ascii="Arial" w:hAnsi="Arial" w:cs="Arial"/>
          <w:sz w:val="24"/>
          <w:szCs w:val="24"/>
        </w:rPr>
        <w:t>Be relia</w:t>
      </w:r>
      <w:r>
        <w:rPr>
          <w:rFonts w:ascii="Arial" w:hAnsi="Arial" w:cs="Arial"/>
          <w:sz w:val="24"/>
          <w:szCs w:val="24"/>
        </w:rPr>
        <w:t>ble, honest and turn up on time and let the adult know you are in it for the long haul.</w:t>
      </w:r>
    </w:p>
    <w:p w14:paraId="5E6A888C" w14:textId="77777777" w:rsidR="009342E9" w:rsidRPr="00FE5035" w:rsidRDefault="009342E9" w:rsidP="009342E9">
      <w:pPr>
        <w:rPr>
          <w:rFonts w:ascii="Arial" w:hAnsi="Arial" w:cs="Arial"/>
          <w:sz w:val="24"/>
          <w:szCs w:val="24"/>
        </w:rPr>
      </w:pPr>
      <w:r>
        <w:rPr>
          <w:rFonts w:ascii="Arial" w:hAnsi="Arial" w:cs="Arial"/>
          <w:sz w:val="24"/>
          <w:szCs w:val="24"/>
        </w:rPr>
        <w:t>Be h</w:t>
      </w:r>
      <w:r w:rsidRPr="00FE5035">
        <w:rPr>
          <w:rFonts w:ascii="Arial" w:hAnsi="Arial" w:cs="Arial"/>
          <w:sz w:val="24"/>
          <w:szCs w:val="24"/>
        </w:rPr>
        <w:t xml:space="preserve">onest </w:t>
      </w:r>
      <w:r>
        <w:rPr>
          <w:rFonts w:ascii="Arial" w:hAnsi="Arial" w:cs="Arial"/>
          <w:sz w:val="24"/>
          <w:szCs w:val="24"/>
        </w:rPr>
        <w:t xml:space="preserve">with the adult about why agencies are concerned but emphasise that you want to offer support on their terms. </w:t>
      </w:r>
    </w:p>
    <w:p w14:paraId="38055354" w14:textId="77777777" w:rsidR="009342E9" w:rsidRDefault="009342E9" w:rsidP="009342E9">
      <w:pPr>
        <w:rPr>
          <w:rFonts w:ascii="Arial" w:hAnsi="Arial" w:cs="Arial"/>
          <w:sz w:val="24"/>
          <w:szCs w:val="24"/>
        </w:rPr>
      </w:pPr>
    </w:p>
    <w:p w14:paraId="3F5A89A5" w14:textId="77777777" w:rsidR="009342E9" w:rsidRDefault="009342E9" w:rsidP="009342E9">
      <w:pPr>
        <w:rPr>
          <w:rFonts w:ascii="Arial" w:hAnsi="Arial" w:cs="Arial"/>
          <w:sz w:val="24"/>
          <w:szCs w:val="24"/>
        </w:rPr>
      </w:pPr>
    </w:p>
    <w:p w14:paraId="0F5F4766" w14:textId="77777777" w:rsidR="009342E9" w:rsidRDefault="009342E9" w:rsidP="009342E9">
      <w:pPr>
        <w:rPr>
          <w:rFonts w:ascii="Arial" w:hAnsi="Arial" w:cs="Arial"/>
          <w:sz w:val="24"/>
          <w:szCs w:val="24"/>
        </w:rPr>
      </w:pPr>
      <w:r>
        <w:rPr>
          <w:rFonts w:ascii="Arial" w:hAnsi="Arial" w:cs="Arial"/>
          <w:sz w:val="24"/>
          <w:szCs w:val="24"/>
        </w:rPr>
        <w:t xml:space="preserve">                                                                                                                      </w:t>
      </w:r>
    </w:p>
    <w:p w14:paraId="5542E055" w14:textId="77777777" w:rsidR="009342E9" w:rsidRDefault="009342E9" w:rsidP="009342E9">
      <w:pPr>
        <w:rPr>
          <w:rFonts w:ascii="Arial" w:hAnsi="Arial" w:cs="Arial"/>
          <w:sz w:val="24"/>
          <w:szCs w:val="24"/>
        </w:rPr>
      </w:pPr>
    </w:p>
    <w:p w14:paraId="01A4F346" w14:textId="77777777" w:rsidR="009342E9" w:rsidRDefault="009342E9" w:rsidP="009342E9">
      <w:pPr>
        <w:rPr>
          <w:rFonts w:ascii="Arial" w:hAnsi="Arial" w:cs="Arial"/>
          <w:sz w:val="24"/>
          <w:szCs w:val="24"/>
        </w:rPr>
      </w:pPr>
    </w:p>
    <w:p w14:paraId="30158877" w14:textId="77777777" w:rsidR="009342E9" w:rsidRDefault="009342E9" w:rsidP="009342E9">
      <w:pPr>
        <w:rPr>
          <w:rFonts w:ascii="Arial" w:hAnsi="Arial" w:cs="Arial"/>
          <w:sz w:val="24"/>
          <w:szCs w:val="24"/>
        </w:rPr>
      </w:pPr>
    </w:p>
    <w:p w14:paraId="45211460" w14:textId="77777777" w:rsidR="009342E9" w:rsidRDefault="009342E9" w:rsidP="009342E9">
      <w:pPr>
        <w:rPr>
          <w:rFonts w:ascii="Arial" w:hAnsi="Arial" w:cs="Arial"/>
          <w:sz w:val="24"/>
          <w:szCs w:val="24"/>
        </w:rPr>
      </w:pPr>
    </w:p>
    <w:p w14:paraId="21176F5F" w14:textId="77777777" w:rsidR="009342E9" w:rsidRDefault="009342E9" w:rsidP="009342E9">
      <w:pPr>
        <w:rPr>
          <w:rFonts w:ascii="Arial" w:hAnsi="Arial" w:cs="Arial"/>
          <w:sz w:val="24"/>
          <w:szCs w:val="24"/>
        </w:rPr>
      </w:pPr>
    </w:p>
    <w:p w14:paraId="1B184C0E" w14:textId="77777777" w:rsidR="009342E9" w:rsidRDefault="009342E9" w:rsidP="009342E9">
      <w:pPr>
        <w:rPr>
          <w:rFonts w:ascii="Arial" w:hAnsi="Arial" w:cs="Arial"/>
          <w:sz w:val="24"/>
          <w:szCs w:val="24"/>
        </w:rPr>
      </w:pPr>
    </w:p>
    <w:p w14:paraId="0E2A85F0" w14:textId="77777777" w:rsidR="009342E9" w:rsidRDefault="009342E9" w:rsidP="009342E9">
      <w:pPr>
        <w:rPr>
          <w:rFonts w:ascii="Arial" w:hAnsi="Arial" w:cs="Arial"/>
          <w:sz w:val="24"/>
          <w:szCs w:val="24"/>
        </w:rPr>
      </w:pPr>
    </w:p>
    <w:p w14:paraId="1060FB4B" w14:textId="77777777" w:rsidR="009342E9" w:rsidRDefault="009342E9" w:rsidP="009342E9">
      <w:pPr>
        <w:rPr>
          <w:rFonts w:ascii="Arial" w:hAnsi="Arial" w:cs="Arial"/>
          <w:sz w:val="24"/>
          <w:szCs w:val="24"/>
        </w:rPr>
      </w:pPr>
    </w:p>
    <w:p w14:paraId="73951B13" w14:textId="77777777" w:rsidR="009342E9" w:rsidRPr="00EA0319" w:rsidRDefault="009342E9" w:rsidP="009342E9">
      <w:pPr>
        <w:rPr>
          <w:b/>
          <w:sz w:val="28"/>
          <w:szCs w:val="28"/>
        </w:rPr>
      </w:pPr>
      <w:r>
        <w:rPr>
          <w:b/>
          <w:sz w:val="28"/>
          <w:szCs w:val="28"/>
        </w:rPr>
        <w:br w:type="page"/>
      </w:r>
      <w:r w:rsidRPr="00EA0319">
        <w:rPr>
          <w:b/>
          <w:sz w:val="28"/>
          <w:szCs w:val="28"/>
        </w:rPr>
        <w:lastRenderedPageBreak/>
        <w:t>Engagement Checklist</w:t>
      </w:r>
    </w:p>
    <w:p w14:paraId="3A3C95E6" w14:textId="77777777" w:rsidR="009342E9" w:rsidRDefault="009342E9" w:rsidP="009342E9">
      <w:pPr>
        <w:rPr>
          <w:b/>
          <w:sz w:val="24"/>
          <w:szCs w:val="24"/>
        </w:rPr>
      </w:pPr>
      <w:r>
        <w:rPr>
          <w:b/>
          <w:sz w:val="24"/>
          <w:szCs w:val="24"/>
        </w:rPr>
        <w:t>The engagement c</w:t>
      </w:r>
      <w:r w:rsidRPr="00EA0319">
        <w:rPr>
          <w:b/>
          <w:sz w:val="24"/>
          <w:szCs w:val="24"/>
        </w:rPr>
        <w:t xml:space="preserve">hecklist </w:t>
      </w:r>
      <w:r>
        <w:rPr>
          <w:b/>
          <w:sz w:val="24"/>
          <w:szCs w:val="24"/>
        </w:rPr>
        <w:t xml:space="preserve">can be used to as a prompt to establish the widest range of potential service involvement with the adult, beyond those involved in the Multiple Report of Harm IRD.  It is anticipated this could be initiated in advance of first engagement escalation oversight meeting and added to during the meeting. </w:t>
      </w:r>
    </w:p>
    <w:p w14:paraId="414F64E8" w14:textId="77777777" w:rsidR="009342E9" w:rsidRDefault="009342E9" w:rsidP="009342E9">
      <w:pPr>
        <w:rPr>
          <w:b/>
          <w:sz w:val="24"/>
          <w:szCs w:val="24"/>
        </w:rPr>
      </w:pPr>
      <w:r>
        <w:rPr>
          <w:b/>
          <w:sz w:val="24"/>
          <w:szCs w:val="24"/>
        </w:rPr>
        <w:t>It will help confirm that</w:t>
      </w:r>
      <w:r w:rsidRPr="00EA0319">
        <w:rPr>
          <w:b/>
          <w:sz w:val="24"/>
          <w:szCs w:val="24"/>
        </w:rPr>
        <w:t xml:space="preserve"> all attempts to engage the adult, their family and friends</w:t>
      </w:r>
      <w:r>
        <w:rPr>
          <w:b/>
          <w:sz w:val="24"/>
          <w:szCs w:val="24"/>
        </w:rPr>
        <w:t xml:space="preserve"> have been pursued or help identify actions which could still be pursued which may increase engagement opportunities</w:t>
      </w:r>
    </w:p>
    <w:tbl>
      <w:tblPr>
        <w:tblStyle w:val="TableGrid"/>
        <w:tblW w:w="0" w:type="auto"/>
        <w:tblLook w:val="04A0" w:firstRow="1" w:lastRow="0" w:firstColumn="1" w:lastColumn="0" w:noHBand="0" w:noVBand="1"/>
      </w:tblPr>
      <w:tblGrid>
        <w:gridCol w:w="704"/>
        <w:gridCol w:w="5306"/>
        <w:gridCol w:w="3006"/>
      </w:tblGrid>
      <w:tr w:rsidR="009342E9" w14:paraId="29A9FD5A" w14:textId="77777777" w:rsidTr="00DD7943">
        <w:tc>
          <w:tcPr>
            <w:tcW w:w="704" w:type="dxa"/>
          </w:tcPr>
          <w:p w14:paraId="1DDEF5A5" w14:textId="77777777" w:rsidR="009342E9" w:rsidRDefault="009342E9" w:rsidP="00DD7943">
            <w:pPr>
              <w:rPr>
                <w:b/>
                <w:sz w:val="24"/>
                <w:szCs w:val="24"/>
              </w:rPr>
            </w:pPr>
          </w:p>
        </w:tc>
        <w:tc>
          <w:tcPr>
            <w:tcW w:w="5306" w:type="dxa"/>
          </w:tcPr>
          <w:p w14:paraId="0D827ADC" w14:textId="77777777" w:rsidR="009342E9" w:rsidRPr="008433B0" w:rsidRDefault="009342E9" w:rsidP="00DD7943">
            <w:pPr>
              <w:rPr>
                <w:b/>
              </w:rPr>
            </w:pPr>
            <w:r>
              <w:rPr>
                <w:b/>
              </w:rPr>
              <w:t xml:space="preserve">Possible </w:t>
            </w:r>
            <w:r w:rsidRPr="008433B0">
              <w:rPr>
                <w:b/>
              </w:rPr>
              <w:t>Engagement Opportunities</w:t>
            </w:r>
            <w:r>
              <w:rPr>
                <w:b/>
              </w:rPr>
              <w:t>: the adult may have some degree of engagement with services that are unaware of the reports of harm. Establishing links with those agencies for information and potential constructive engagement under this process with the adult could follow.</w:t>
            </w:r>
          </w:p>
        </w:tc>
        <w:tc>
          <w:tcPr>
            <w:tcW w:w="3006" w:type="dxa"/>
          </w:tcPr>
          <w:p w14:paraId="61AFFB13" w14:textId="77777777" w:rsidR="009342E9" w:rsidRDefault="009342E9" w:rsidP="00DD7943">
            <w:pPr>
              <w:rPr>
                <w:b/>
                <w:sz w:val="24"/>
                <w:szCs w:val="24"/>
              </w:rPr>
            </w:pPr>
            <w:r>
              <w:rPr>
                <w:b/>
                <w:sz w:val="24"/>
                <w:szCs w:val="24"/>
              </w:rPr>
              <w:t xml:space="preserve">Include date of update of decisions. List evidence and measures. </w:t>
            </w:r>
          </w:p>
          <w:p w14:paraId="373FE7BD" w14:textId="77777777" w:rsidR="009342E9" w:rsidRDefault="009342E9" w:rsidP="00DD7943">
            <w:pPr>
              <w:rPr>
                <w:b/>
                <w:sz w:val="24"/>
                <w:szCs w:val="24"/>
              </w:rPr>
            </w:pPr>
            <w:r>
              <w:rPr>
                <w:b/>
                <w:sz w:val="24"/>
                <w:szCs w:val="24"/>
              </w:rPr>
              <w:t>A tick is not sufficient.</w:t>
            </w:r>
          </w:p>
        </w:tc>
      </w:tr>
      <w:tr w:rsidR="009342E9" w14:paraId="5ABD5DD7" w14:textId="77777777" w:rsidTr="00DD7943">
        <w:tc>
          <w:tcPr>
            <w:tcW w:w="704" w:type="dxa"/>
          </w:tcPr>
          <w:p w14:paraId="7969284E" w14:textId="77777777" w:rsidR="009342E9" w:rsidRDefault="009342E9" w:rsidP="00DD7943">
            <w:pPr>
              <w:rPr>
                <w:b/>
                <w:sz w:val="24"/>
                <w:szCs w:val="24"/>
              </w:rPr>
            </w:pPr>
            <w:r>
              <w:rPr>
                <w:b/>
                <w:sz w:val="24"/>
                <w:szCs w:val="24"/>
              </w:rPr>
              <w:t>1</w:t>
            </w:r>
          </w:p>
        </w:tc>
        <w:tc>
          <w:tcPr>
            <w:tcW w:w="5306" w:type="dxa"/>
          </w:tcPr>
          <w:p w14:paraId="523C2488" w14:textId="77777777" w:rsidR="009342E9" w:rsidRDefault="009342E9" w:rsidP="00DD7943">
            <w:r>
              <w:t xml:space="preserve">All appropriate efforts to engage the adult at risk following the previous reports of harm have been pursued; </w:t>
            </w:r>
          </w:p>
          <w:p w14:paraId="68525A55" w14:textId="77777777" w:rsidR="009342E9" w:rsidRDefault="009342E9" w:rsidP="009342E9">
            <w:pPr>
              <w:pStyle w:val="ListParagraph"/>
              <w:numPr>
                <w:ilvl w:val="0"/>
                <w:numId w:val="8"/>
              </w:numPr>
              <w:spacing w:after="0" w:line="240" w:lineRule="auto"/>
            </w:pPr>
            <w:r>
              <w:t>you have been unsuccessful in engaging the adult at risk</w:t>
            </w:r>
          </w:p>
          <w:p w14:paraId="3A60626B" w14:textId="77777777" w:rsidR="009342E9" w:rsidRPr="00A42031" w:rsidRDefault="009342E9" w:rsidP="009342E9">
            <w:pPr>
              <w:pStyle w:val="ListParagraph"/>
              <w:numPr>
                <w:ilvl w:val="0"/>
                <w:numId w:val="8"/>
              </w:numPr>
              <w:spacing w:after="0" w:line="240" w:lineRule="auto"/>
              <w:rPr>
                <w:b/>
                <w:sz w:val="24"/>
                <w:szCs w:val="24"/>
              </w:rPr>
            </w:pPr>
            <w:proofErr w:type="gramStart"/>
            <w:r>
              <w:t>you</w:t>
            </w:r>
            <w:proofErr w:type="gramEnd"/>
            <w:r>
              <w:t xml:space="preserve"> believe the adult to be at risk of </w:t>
            </w:r>
            <w:r w:rsidRPr="00A42031">
              <w:rPr>
                <w:b/>
              </w:rPr>
              <w:t>serious</w:t>
            </w:r>
            <w:r>
              <w:t xml:space="preserve"> harm.</w:t>
            </w:r>
          </w:p>
        </w:tc>
        <w:tc>
          <w:tcPr>
            <w:tcW w:w="3006" w:type="dxa"/>
          </w:tcPr>
          <w:p w14:paraId="1EAC8029" w14:textId="77777777" w:rsidR="009342E9" w:rsidRDefault="009342E9" w:rsidP="00DD7943">
            <w:pPr>
              <w:rPr>
                <w:b/>
                <w:sz w:val="24"/>
                <w:szCs w:val="24"/>
              </w:rPr>
            </w:pPr>
          </w:p>
        </w:tc>
      </w:tr>
      <w:tr w:rsidR="009342E9" w14:paraId="6AB51731" w14:textId="77777777" w:rsidTr="00DD7943">
        <w:trPr>
          <w:trHeight w:val="405"/>
        </w:trPr>
        <w:tc>
          <w:tcPr>
            <w:tcW w:w="704" w:type="dxa"/>
            <w:vMerge w:val="restart"/>
          </w:tcPr>
          <w:p w14:paraId="2DC5DCBF" w14:textId="77777777" w:rsidR="009342E9" w:rsidRDefault="009342E9" w:rsidP="00DD7943">
            <w:pPr>
              <w:rPr>
                <w:b/>
                <w:sz w:val="24"/>
                <w:szCs w:val="24"/>
              </w:rPr>
            </w:pPr>
            <w:r>
              <w:rPr>
                <w:b/>
                <w:sz w:val="24"/>
                <w:szCs w:val="24"/>
              </w:rPr>
              <w:t>2</w:t>
            </w:r>
          </w:p>
        </w:tc>
        <w:tc>
          <w:tcPr>
            <w:tcW w:w="5306" w:type="dxa"/>
            <w:vMerge w:val="restart"/>
          </w:tcPr>
          <w:p w14:paraId="1AB2447C" w14:textId="77777777" w:rsidR="009342E9" w:rsidRPr="007102BF" w:rsidRDefault="009342E9" w:rsidP="00DD7943">
            <w:r>
              <w:t>Advocacy services have been considered, and/or offered. Consider offering at each contact if initially refused.</w:t>
            </w:r>
          </w:p>
        </w:tc>
        <w:tc>
          <w:tcPr>
            <w:tcW w:w="3006" w:type="dxa"/>
          </w:tcPr>
          <w:p w14:paraId="43FA0C42" w14:textId="77777777" w:rsidR="009342E9" w:rsidRPr="007102BF" w:rsidRDefault="009342E9" w:rsidP="00DD7943">
            <w:pPr>
              <w:rPr>
                <w:sz w:val="24"/>
                <w:szCs w:val="24"/>
              </w:rPr>
            </w:pPr>
            <w:r w:rsidRPr="007102BF">
              <w:rPr>
                <w:sz w:val="24"/>
                <w:szCs w:val="24"/>
              </w:rPr>
              <w:t>Considered</w:t>
            </w:r>
          </w:p>
        </w:tc>
      </w:tr>
      <w:tr w:rsidR="009342E9" w14:paraId="6E340769" w14:textId="77777777" w:rsidTr="00DD7943">
        <w:trPr>
          <w:trHeight w:val="405"/>
        </w:trPr>
        <w:tc>
          <w:tcPr>
            <w:tcW w:w="704" w:type="dxa"/>
            <w:vMerge/>
          </w:tcPr>
          <w:p w14:paraId="40479D20" w14:textId="77777777" w:rsidR="009342E9" w:rsidRDefault="009342E9" w:rsidP="00DD7943">
            <w:pPr>
              <w:rPr>
                <w:b/>
                <w:sz w:val="24"/>
                <w:szCs w:val="24"/>
              </w:rPr>
            </w:pPr>
          </w:p>
        </w:tc>
        <w:tc>
          <w:tcPr>
            <w:tcW w:w="5306" w:type="dxa"/>
            <w:vMerge/>
          </w:tcPr>
          <w:p w14:paraId="1663A4CD" w14:textId="77777777" w:rsidR="009342E9" w:rsidRDefault="009342E9" w:rsidP="00DD7943"/>
        </w:tc>
        <w:tc>
          <w:tcPr>
            <w:tcW w:w="3006" w:type="dxa"/>
          </w:tcPr>
          <w:p w14:paraId="07B60D97" w14:textId="77777777" w:rsidR="009342E9" w:rsidRPr="007102BF" w:rsidRDefault="009342E9" w:rsidP="00DD7943">
            <w:r w:rsidRPr="007102BF">
              <w:t xml:space="preserve">Offered </w:t>
            </w:r>
          </w:p>
        </w:tc>
      </w:tr>
      <w:tr w:rsidR="009342E9" w14:paraId="17339A1C" w14:textId="77777777" w:rsidTr="00DD7943">
        <w:tc>
          <w:tcPr>
            <w:tcW w:w="704" w:type="dxa"/>
          </w:tcPr>
          <w:p w14:paraId="5D0D31C4" w14:textId="77777777" w:rsidR="009342E9" w:rsidRDefault="009342E9" w:rsidP="00DD7943">
            <w:pPr>
              <w:rPr>
                <w:b/>
                <w:sz w:val="24"/>
                <w:szCs w:val="24"/>
              </w:rPr>
            </w:pPr>
            <w:r>
              <w:rPr>
                <w:b/>
                <w:sz w:val="24"/>
                <w:szCs w:val="24"/>
              </w:rPr>
              <w:t>3</w:t>
            </w:r>
          </w:p>
        </w:tc>
        <w:tc>
          <w:tcPr>
            <w:tcW w:w="5306" w:type="dxa"/>
          </w:tcPr>
          <w:p w14:paraId="5E3B1853" w14:textId="77777777" w:rsidR="009342E9" w:rsidRDefault="009342E9" w:rsidP="00DD7943">
            <w:r>
              <w:t xml:space="preserve">There have been 2 or more IRD’s but there has been no resolution because </w:t>
            </w:r>
          </w:p>
          <w:p w14:paraId="1C21061D" w14:textId="77777777" w:rsidR="009342E9" w:rsidRDefault="009342E9" w:rsidP="009342E9">
            <w:pPr>
              <w:pStyle w:val="ListParagraph"/>
              <w:numPr>
                <w:ilvl w:val="0"/>
                <w:numId w:val="6"/>
              </w:numPr>
              <w:spacing w:after="0" w:line="240" w:lineRule="auto"/>
            </w:pPr>
            <w:r>
              <w:t>the Adult does not want to engage</w:t>
            </w:r>
          </w:p>
          <w:p w14:paraId="39F457D5" w14:textId="77777777" w:rsidR="009342E9" w:rsidRDefault="009342E9" w:rsidP="009342E9">
            <w:pPr>
              <w:pStyle w:val="ListParagraph"/>
              <w:numPr>
                <w:ilvl w:val="0"/>
                <w:numId w:val="6"/>
              </w:numPr>
              <w:spacing w:after="0" w:line="240" w:lineRule="auto"/>
            </w:pPr>
            <w:r>
              <w:t xml:space="preserve">has </w:t>
            </w:r>
            <w:r w:rsidRPr="00EA0319">
              <w:t xml:space="preserve">the capacity to </w:t>
            </w:r>
            <w:r>
              <w:t xml:space="preserve">do so*, and </w:t>
            </w:r>
          </w:p>
          <w:p w14:paraId="6DDA634A" w14:textId="77777777" w:rsidR="009342E9" w:rsidRDefault="009342E9" w:rsidP="009342E9">
            <w:pPr>
              <w:pStyle w:val="ListParagraph"/>
              <w:numPr>
                <w:ilvl w:val="0"/>
                <w:numId w:val="6"/>
              </w:numPr>
              <w:spacing w:after="0" w:line="240" w:lineRule="auto"/>
            </w:pPr>
            <w:r>
              <w:t>is making</w:t>
            </w:r>
            <w:r w:rsidRPr="00EA0319">
              <w:t xml:space="preserve"> choices which place them at risk of serious harm through </w:t>
            </w:r>
          </w:p>
          <w:p w14:paraId="6E1FF0B6" w14:textId="77777777" w:rsidR="009342E9" w:rsidRDefault="009342E9" w:rsidP="009342E9">
            <w:pPr>
              <w:pStyle w:val="ListParagraph"/>
              <w:numPr>
                <w:ilvl w:val="1"/>
                <w:numId w:val="6"/>
              </w:numPr>
              <w:spacing w:after="0" w:line="240" w:lineRule="auto"/>
            </w:pPr>
            <w:r w:rsidRPr="00EA0319">
              <w:t xml:space="preserve">self-neglect </w:t>
            </w:r>
          </w:p>
          <w:p w14:paraId="5A62666F" w14:textId="77777777" w:rsidR="009342E9" w:rsidRDefault="009342E9" w:rsidP="009342E9">
            <w:pPr>
              <w:pStyle w:val="ListParagraph"/>
              <w:numPr>
                <w:ilvl w:val="1"/>
                <w:numId w:val="6"/>
              </w:numPr>
              <w:spacing w:after="0" w:line="240" w:lineRule="auto"/>
            </w:pPr>
            <w:r w:rsidRPr="00EA0319">
              <w:t>risk taking behaviour</w:t>
            </w:r>
            <w:r>
              <w:t>,</w:t>
            </w:r>
            <w:r w:rsidRPr="00EA0319">
              <w:t xml:space="preserve"> or </w:t>
            </w:r>
          </w:p>
          <w:p w14:paraId="0C0094F5" w14:textId="77777777" w:rsidR="009342E9" w:rsidRPr="00A42031" w:rsidRDefault="009342E9" w:rsidP="009342E9">
            <w:pPr>
              <w:pStyle w:val="ListParagraph"/>
              <w:numPr>
                <w:ilvl w:val="1"/>
                <w:numId w:val="6"/>
              </w:numPr>
              <w:spacing w:after="0" w:line="240" w:lineRule="auto"/>
            </w:pPr>
            <w:proofErr w:type="gramStart"/>
            <w:r w:rsidRPr="00EA0319">
              <w:t>refusal</w:t>
            </w:r>
            <w:proofErr w:type="gramEnd"/>
            <w:r w:rsidRPr="00EA0319">
              <w:t xml:space="preserve"> of services.</w:t>
            </w:r>
          </w:p>
        </w:tc>
        <w:tc>
          <w:tcPr>
            <w:tcW w:w="3006" w:type="dxa"/>
          </w:tcPr>
          <w:p w14:paraId="0D5F2C4F" w14:textId="77777777" w:rsidR="009342E9" w:rsidRDefault="009342E9" w:rsidP="00DD7943">
            <w:pPr>
              <w:rPr>
                <w:b/>
                <w:sz w:val="24"/>
                <w:szCs w:val="24"/>
              </w:rPr>
            </w:pPr>
          </w:p>
        </w:tc>
      </w:tr>
      <w:tr w:rsidR="009342E9" w14:paraId="086FBDC8" w14:textId="77777777" w:rsidTr="00DD7943">
        <w:tc>
          <w:tcPr>
            <w:tcW w:w="704" w:type="dxa"/>
          </w:tcPr>
          <w:p w14:paraId="31ABDB9F" w14:textId="77777777" w:rsidR="009342E9" w:rsidRDefault="009342E9" w:rsidP="00DD7943">
            <w:pPr>
              <w:rPr>
                <w:b/>
                <w:sz w:val="24"/>
                <w:szCs w:val="24"/>
              </w:rPr>
            </w:pPr>
            <w:r>
              <w:rPr>
                <w:b/>
                <w:sz w:val="24"/>
                <w:szCs w:val="24"/>
              </w:rPr>
              <w:t>4*</w:t>
            </w:r>
          </w:p>
        </w:tc>
        <w:tc>
          <w:tcPr>
            <w:tcW w:w="5306" w:type="dxa"/>
          </w:tcPr>
          <w:p w14:paraId="29152620" w14:textId="77777777" w:rsidR="009342E9" w:rsidRDefault="009342E9" w:rsidP="00DD7943">
            <w:r>
              <w:t xml:space="preserve">You have fully considered whether there are any grounds to request an assessment of capacity. </w:t>
            </w:r>
          </w:p>
          <w:p w14:paraId="2B64586B" w14:textId="77777777" w:rsidR="009342E9" w:rsidRPr="00E50C0B" w:rsidRDefault="009342E9" w:rsidP="00DD7943">
            <w:pPr>
              <w:rPr>
                <w:b/>
                <w:sz w:val="24"/>
                <w:szCs w:val="24"/>
              </w:rPr>
            </w:pPr>
          </w:p>
        </w:tc>
        <w:tc>
          <w:tcPr>
            <w:tcW w:w="3006" w:type="dxa"/>
          </w:tcPr>
          <w:p w14:paraId="43A0BC97" w14:textId="77777777" w:rsidR="009342E9" w:rsidRDefault="009342E9" w:rsidP="00DD7943">
            <w:pPr>
              <w:rPr>
                <w:b/>
                <w:sz w:val="24"/>
                <w:szCs w:val="24"/>
              </w:rPr>
            </w:pPr>
          </w:p>
        </w:tc>
      </w:tr>
      <w:tr w:rsidR="009342E9" w14:paraId="036F565D" w14:textId="77777777" w:rsidTr="00DD7943">
        <w:tc>
          <w:tcPr>
            <w:tcW w:w="704" w:type="dxa"/>
          </w:tcPr>
          <w:p w14:paraId="41D05BBA" w14:textId="77777777" w:rsidR="009342E9" w:rsidRDefault="009342E9" w:rsidP="00DD7943">
            <w:pPr>
              <w:rPr>
                <w:b/>
                <w:sz w:val="24"/>
                <w:szCs w:val="24"/>
              </w:rPr>
            </w:pPr>
            <w:r>
              <w:rPr>
                <w:b/>
                <w:sz w:val="24"/>
                <w:szCs w:val="24"/>
              </w:rPr>
              <w:t>5</w:t>
            </w:r>
          </w:p>
        </w:tc>
        <w:tc>
          <w:tcPr>
            <w:tcW w:w="5306" w:type="dxa"/>
          </w:tcPr>
          <w:p w14:paraId="715BBFA4" w14:textId="77777777" w:rsidR="009342E9" w:rsidRDefault="009342E9" w:rsidP="00DD7943">
            <w:r>
              <w:t xml:space="preserve">You have completed or attempted to complete a Personal Outcome Support Assessment (POSA) and the </w:t>
            </w:r>
            <w:r>
              <w:lastRenderedPageBreak/>
              <w:t xml:space="preserve">Adult has not engaged with the process and you believe this choice places them </w:t>
            </w:r>
            <w:r w:rsidRPr="00EA0319">
              <w:t xml:space="preserve">at risk of serious harm through </w:t>
            </w:r>
          </w:p>
          <w:p w14:paraId="67D3E4F2" w14:textId="77777777" w:rsidR="009342E9" w:rsidRDefault="009342E9" w:rsidP="009342E9">
            <w:pPr>
              <w:pStyle w:val="ListParagraph"/>
              <w:numPr>
                <w:ilvl w:val="0"/>
                <w:numId w:val="7"/>
              </w:numPr>
              <w:spacing w:after="0" w:line="240" w:lineRule="auto"/>
            </w:pPr>
            <w:r>
              <w:t>self-neglect</w:t>
            </w:r>
          </w:p>
          <w:p w14:paraId="4703072F" w14:textId="77777777" w:rsidR="009342E9" w:rsidRDefault="009342E9" w:rsidP="009342E9">
            <w:pPr>
              <w:pStyle w:val="ListParagraph"/>
              <w:numPr>
                <w:ilvl w:val="0"/>
                <w:numId w:val="7"/>
              </w:numPr>
              <w:spacing w:after="0" w:line="240" w:lineRule="auto"/>
            </w:pPr>
            <w:r w:rsidRPr="00EA0319">
              <w:t xml:space="preserve">risk taking behaviour or </w:t>
            </w:r>
          </w:p>
          <w:p w14:paraId="5A3765CC" w14:textId="77777777" w:rsidR="009342E9" w:rsidRPr="00516E03" w:rsidRDefault="009342E9" w:rsidP="009342E9">
            <w:pPr>
              <w:pStyle w:val="ListParagraph"/>
              <w:numPr>
                <w:ilvl w:val="0"/>
                <w:numId w:val="7"/>
              </w:numPr>
              <w:spacing w:after="0" w:line="240" w:lineRule="auto"/>
            </w:pPr>
            <w:r>
              <w:t>refusal of services</w:t>
            </w:r>
          </w:p>
        </w:tc>
        <w:tc>
          <w:tcPr>
            <w:tcW w:w="3006" w:type="dxa"/>
          </w:tcPr>
          <w:p w14:paraId="1A492724" w14:textId="77777777" w:rsidR="009342E9" w:rsidRDefault="009342E9" w:rsidP="00DD7943">
            <w:pPr>
              <w:rPr>
                <w:b/>
                <w:sz w:val="24"/>
                <w:szCs w:val="24"/>
              </w:rPr>
            </w:pPr>
          </w:p>
        </w:tc>
      </w:tr>
      <w:tr w:rsidR="009342E9" w14:paraId="35C440DB" w14:textId="77777777" w:rsidTr="00DD7943">
        <w:tc>
          <w:tcPr>
            <w:tcW w:w="704" w:type="dxa"/>
          </w:tcPr>
          <w:p w14:paraId="6150EFCC" w14:textId="77777777" w:rsidR="009342E9" w:rsidRDefault="009342E9" w:rsidP="00DD7943">
            <w:pPr>
              <w:rPr>
                <w:b/>
                <w:sz w:val="24"/>
                <w:szCs w:val="24"/>
              </w:rPr>
            </w:pPr>
            <w:r>
              <w:rPr>
                <w:b/>
                <w:sz w:val="24"/>
                <w:szCs w:val="24"/>
              </w:rPr>
              <w:t>6</w:t>
            </w:r>
          </w:p>
        </w:tc>
        <w:tc>
          <w:tcPr>
            <w:tcW w:w="5306" w:type="dxa"/>
          </w:tcPr>
          <w:p w14:paraId="790C3FEB" w14:textId="77777777" w:rsidR="009342E9" w:rsidRDefault="009342E9" w:rsidP="00DD7943">
            <w:r>
              <w:t>You have fully considered the use of protection orders.</w:t>
            </w:r>
          </w:p>
          <w:p w14:paraId="65FD2044" w14:textId="77777777" w:rsidR="009342E9" w:rsidRDefault="009342E9" w:rsidP="00DD7943">
            <w:r>
              <w:t>Including consideration of Undue Pressure</w:t>
            </w:r>
          </w:p>
        </w:tc>
        <w:tc>
          <w:tcPr>
            <w:tcW w:w="3006" w:type="dxa"/>
          </w:tcPr>
          <w:p w14:paraId="3ACBC152" w14:textId="77777777" w:rsidR="009342E9" w:rsidRDefault="009342E9" w:rsidP="00DD7943">
            <w:pPr>
              <w:rPr>
                <w:b/>
                <w:sz w:val="24"/>
                <w:szCs w:val="24"/>
              </w:rPr>
            </w:pPr>
          </w:p>
        </w:tc>
      </w:tr>
      <w:tr w:rsidR="009342E9" w14:paraId="1FACAAE4" w14:textId="77777777" w:rsidTr="00DD7943">
        <w:trPr>
          <w:trHeight w:val="685"/>
        </w:trPr>
        <w:tc>
          <w:tcPr>
            <w:tcW w:w="704" w:type="dxa"/>
            <w:vMerge w:val="restart"/>
          </w:tcPr>
          <w:p w14:paraId="44F8D1C6" w14:textId="77777777" w:rsidR="009342E9" w:rsidRDefault="009342E9" w:rsidP="00DD7943">
            <w:pPr>
              <w:rPr>
                <w:b/>
                <w:sz w:val="24"/>
                <w:szCs w:val="24"/>
              </w:rPr>
            </w:pPr>
            <w:r>
              <w:rPr>
                <w:b/>
                <w:sz w:val="24"/>
                <w:szCs w:val="24"/>
              </w:rPr>
              <w:t>7</w:t>
            </w:r>
          </w:p>
        </w:tc>
        <w:tc>
          <w:tcPr>
            <w:tcW w:w="5306" w:type="dxa"/>
            <w:vMerge w:val="restart"/>
          </w:tcPr>
          <w:p w14:paraId="189465F5" w14:textId="77777777" w:rsidR="009342E9" w:rsidRDefault="009342E9" w:rsidP="00DD7943">
            <w:r>
              <w:t>You have considered whether there are health issues which are placing the adult at risk of serious harm and if so, have attempted to engage the GP and/or appropriate NHS Services including (as relevant)</w:t>
            </w:r>
          </w:p>
          <w:p w14:paraId="1018375B" w14:textId="77777777" w:rsidR="009342E9" w:rsidRDefault="009342E9" w:rsidP="009342E9">
            <w:pPr>
              <w:pStyle w:val="ListParagraph"/>
              <w:numPr>
                <w:ilvl w:val="0"/>
                <w:numId w:val="4"/>
              </w:numPr>
              <w:spacing w:after="0" w:line="240" w:lineRule="auto"/>
            </w:pPr>
            <w:r>
              <w:t>Sexual Health Services</w:t>
            </w:r>
          </w:p>
          <w:p w14:paraId="0C105F40" w14:textId="77777777" w:rsidR="009342E9" w:rsidRDefault="009342E9" w:rsidP="009342E9">
            <w:pPr>
              <w:pStyle w:val="ListParagraph"/>
              <w:numPr>
                <w:ilvl w:val="0"/>
                <w:numId w:val="4"/>
              </w:numPr>
              <w:spacing w:after="0" w:line="240" w:lineRule="auto"/>
            </w:pPr>
            <w:r>
              <w:t>Mental Health Services</w:t>
            </w:r>
          </w:p>
          <w:p w14:paraId="6B22CEC6" w14:textId="77777777" w:rsidR="009342E9" w:rsidRDefault="009342E9" w:rsidP="009342E9">
            <w:pPr>
              <w:pStyle w:val="ListParagraph"/>
              <w:numPr>
                <w:ilvl w:val="0"/>
                <w:numId w:val="4"/>
              </w:numPr>
              <w:spacing w:after="0" w:line="240" w:lineRule="auto"/>
            </w:pPr>
            <w:r>
              <w:t>Psychological Services</w:t>
            </w:r>
          </w:p>
          <w:p w14:paraId="3163686F" w14:textId="77777777" w:rsidR="009342E9" w:rsidRDefault="009342E9" w:rsidP="009342E9">
            <w:pPr>
              <w:pStyle w:val="ListParagraph"/>
              <w:numPr>
                <w:ilvl w:val="0"/>
                <w:numId w:val="4"/>
              </w:numPr>
              <w:spacing w:after="0" w:line="240" w:lineRule="auto"/>
            </w:pPr>
            <w:r>
              <w:t xml:space="preserve">Alcohol and Drug Services </w:t>
            </w:r>
          </w:p>
          <w:p w14:paraId="4DAA3062" w14:textId="77777777" w:rsidR="009342E9" w:rsidRDefault="009342E9" w:rsidP="009342E9">
            <w:pPr>
              <w:pStyle w:val="ListParagraph"/>
              <w:numPr>
                <w:ilvl w:val="0"/>
                <w:numId w:val="4"/>
              </w:numPr>
              <w:spacing w:after="0" w:line="240" w:lineRule="auto"/>
            </w:pPr>
            <w:r>
              <w:t>You have checked whether the Adult is using Accident and Emergency Services, including Ambulance</w:t>
            </w:r>
            <w:r w:rsidRPr="007A094B">
              <w:t xml:space="preserve"> Service;</w:t>
            </w:r>
            <w:r>
              <w:t xml:space="preserve"> and the Adult has not engaged and you believe this choice places them </w:t>
            </w:r>
            <w:r w:rsidRPr="00EA0319">
              <w:t>at risk of serious harm through self-neglect, risk taking behaviour or refusal of services.</w:t>
            </w:r>
          </w:p>
          <w:p w14:paraId="150EF313" w14:textId="77777777" w:rsidR="009342E9" w:rsidRDefault="009342E9" w:rsidP="00DD7943">
            <w:pPr>
              <w:rPr>
                <w:b/>
                <w:sz w:val="24"/>
                <w:szCs w:val="24"/>
              </w:rPr>
            </w:pPr>
          </w:p>
        </w:tc>
        <w:tc>
          <w:tcPr>
            <w:tcW w:w="3006" w:type="dxa"/>
          </w:tcPr>
          <w:p w14:paraId="798FE0B6" w14:textId="77777777" w:rsidR="009342E9" w:rsidRPr="00DF6FD7" w:rsidRDefault="009342E9" w:rsidP="00DD7943">
            <w:r w:rsidRPr="00DF6FD7">
              <w:t>GP</w:t>
            </w:r>
          </w:p>
        </w:tc>
      </w:tr>
      <w:tr w:rsidR="009342E9" w14:paraId="2AC66727" w14:textId="77777777" w:rsidTr="00DD7943">
        <w:trPr>
          <w:trHeight w:val="685"/>
        </w:trPr>
        <w:tc>
          <w:tcPr>
            <w:tcW w:w="704" w:type="dxa"/>
            <w:vMerge/>
          </w:tcPr>
          <w:p w14:paraId="3E24C193" w14:textId="77777777" w:rsidR="009342E9" w:rsidRDefault="009342E9" w:rsidP="00DD7943">
            <w:pPr>
              <w:rPr>
                <w:b/>
                <w:sz w:val="24"/>
                <w:szCs w:val="24"/>
              </w:rPr>
            </w:pPr>
          </w:p>
        </w:tc>
        <w:tc>
          <w:tcPr>
            <w:tcW w:w="5306" w:type="dxa"/>
            <w:vMerge/>
          </w:tcPr>
          <w:p w14:paraId="2322E897" w14:textId="77777777" w:rsidR="009342E9" w:rsidRDefault="009342E9" w:rsidP="00DD7943"/>
        </w:tc>
        <w:tc>
          <w:tcPr>
            <w:tcW w:w="3006" w:type="dxa"/>
          </w:tcPr>
          <w:p w14:paraId="0D41A793" w14:textId="77777777" w:rsidR="009342E9" w:rsidRPr="00A42031" w:rsidRDefault="009342E9" w:rsidP="00DD7943">
            <w:r w:rsidRPr="00DF6FD7">
              <w:t>Sexual Health Services</w:t>
            </w:r>
          </w:p>
        </w:tc>
      </w:tr>
      <w:tr w:rsidR="009342E9" w14:paraId="14994FAA" w14:textId="77777777" w:rsidTr="00DD7943">
        <w:trPr>
          <w:trHeight w:val="685"/>
        </w:trPr>
        <w:tc>
          <w:tcPr>
            <w:tcW w:w="704" w:type="dxa"/>
            <w:vMerge/>
          </w:tcPr>
          <w:p w14:paraId="18701837" w14:textId="77777777" w:rsidR="009342E9" w:rsidRDefault="009342E9" w:rsidP="00DD7943">
            <w:pPr>
              <w:rPr>
                <w:b/>
                <w:sz w:val="24"/>
                <w:szCs w:val="24"/>
              </w:rPr>
            </w:pPr>
          </w:p>
        </w:tc>
        <w:tc>
          <w:tcPr>
            <w:tcW w:w="5306" w:type="dxa"/>
            <w:vMerge/>
          </w:tcPr>
          <w:p w14:paraId="1F5DAFAD" w14:textId="77777777" w:rsidR="009342E9" w:rsidRDefault="009342E9" w:rsidP="00DD7943"/>
        </w:tc>
        <w:tc>
          <w:tcPr>
            <w:tcW w:w="3006" w:type="dxa"/>
          </w:tcPr>
          <w:p w14:paraId="68295471" w14:textId="77777777" w:rsidR="009342E9" w:rsidRPr="00DF6FD7" w:rsidRDefault="009342E9" w:rsidP="00DD7943">
            <w:r w:rsidRPr="00DF6FD7">
              <w:t xml:space="preserve">Mental Health Service </w:t>
            </w:r>
          </w:p>
        </w:tc>
      </w:tr>
      <w:tr w:rsidR="009342E9" w14:paraId="21821F7E" w14:textId="77777777" w:rsidTr="00DD7943">
        <w:trPr>
          <w:trHeight w:val="685"/>
        </w:trPr>
        <w:tc>
          <w:tcPr>
            <w:tcW w:w="704" w:type="dxa"/>
            <w:vMerge/>
          </w:tcPr>
          <w:p w14:paraId="5891F3B7" w14:textId="77777777" w:rsidR="009342E9" w:rsidRDefault="009342E9" w:rsidP="00DD7943">
            <w:pPr>
              <w:rPr>
                <w:b/>
                <w:sz w:val="24"/>
                <w:szCs w:val="24"/>
              </w:rPr>
            </w:pPr>
          </w:p>
        </w:tc>
        <w:tc>
          <w:tcPr>
            <w:tcW w:w="5306" w:type="dxa"/>
            <w:vMerge/>
          </w:tcPr>
          <w:p w14:paraId="723F8DD7" w14:textId="77777777" w:rsidR="009342E9" w:rsidRDefault="009342E9" w:rsidP="00DD7943"/>
        </w:tc>
        <w:tc>
          <w:tcPr>
            <w:tcW w:w="3006" w:type="dxa"/>
          </w:tcPr>
          <w:p w14:paraId="0B31738F" w14:textId="77777777" w:rsidR="009342E9" w:rsidRDefault="009342E9" w:rsidP="00DD7943">
            <w:r>
              <w:t>Psychological Services</w:t>
            </w:r>
          </w:p>
          <w:p w14:paraId="032AF192" w14:textId="77777777" w:rsidR="009342E9" w:rsidRDefault="009342E9" w:rsidP="00DD7943">
            <w:pPr>
              <w:rPr>
                <w:b/>
                <w:sz w:val="24"/>
                <w:szCs w:val="24"/>
              </w:rPr>
            </w:pPr>
          </w:p>
        </w:tc>
      </w:tr>
      <w:tr w:rsidR="009342E9" w14:paraId="10E50BFD" w14:textId="77777777" w:rsidTr="00DD7943">
        <w:trPr>
          <w:trHeight w:val="685"/>
        </w:trPr>
        <w:tc>
          <w:tcPr>
            <w:tcW w:w="704" w:type="dxa"/>
            <w:vMerge/>
          </w:tcPr>
          <w:p w14:paraId="17FEFA1F" w14:textId="77777777" w:rsidR="009342E9" w:rsidRDefault="009342E9" w:rsidP="00DD7943">
            <w:pPr>
              <w:rPr>
                <w:b/>
                <w:sz w:val="24"/>
                <w:szCs w:val="24"/>
              </w:rPr>
            </w:pPr>
          </w:p>
        </w:tc>
        <w:tc>
          <w:tcPr>
            <w:tcW w:w="5306" w:type="dxa"/>
            <w:vMerge/>
          </w:tcPr>
          <w:p w14:paraId="2BCE3D79" w14:textId="77777777" w:rsidR="009342E9" w:rsidRDefault="009342E9" w:rsidP="00DD7943"/>
        </w:tc>
        <w:tc>
          <w:tcPr>
            <w:tcW w:w="3006" w:type="dxa"/>
          </w:tcPr>
          <w:p w14:paraId="22190601" w14:textId="77777777" w:rsidR="009342E9" w:rsidRDefault="009342E9" w:rsidP="00DD7943">
            <w:r>
              <w:t xml:space="preserve">Alcohol and Drug Services </w:t>
            </w:r>
          </w:p>
          <w:p w14:paraId="35080CEF" w14:textId="77777777" w:rsidR="009342E9" w:rsidRDefault="009342E9" w:rsidP="00DD7943">
            <w:pPr>
              <w:rPr>
                <w:b/>
                <w:sz w:val="24"/>
                <w:szCs w:val="24"/>
              </w:rPr>
            </w:pPr>
          </w:p>
        </w:tc>
      </w:tr>
      <w:tr w:rsidR="009342E9" w14:paraId="01D8E0B1" w14:textId="77777777" w:rsidTr="00DD7943">
        <w:trPr>
          <w:trHeight w:val="685"/>
        </w:trPr>
        <w:tc>
          <w:tcPr>
            <w:tcW w:w="704" w:type="dxa"/>
            <w:vMerge/>
          </w:tcPr>
          <w:p w14:paraId="3E09903F" w14:textId="77777777" w:rsidR="009342E9" w:rsidRDefault="009342E9" w:rsidP="00DD7943">
            <w:pPr>
              <w:rPr>
                <w:b/>
                <w:sz w:val="24"/>
                <w:szCs w:val="24"/>
              </w:rPr>
            </w:pPr>
          </w:p>
        </w:tc>
        <w:tc>
          <w:tcPr>
            <w:tcW w:w="5306" w:type="dxa"/>
            <w:vMerge/>
          </w:tcPr>
          <w:p w14:paraId="0FEFA897" w14:textId="77777777" w:rsidR="009342E9" w:rsidRDefault="009342E9" w:rsidP="00DD7943"/>
        </w:tc>
        <w:tc>
          <w:tcPr>
            <w:tcW w:w="3006" w:type="dxa"/>
          </w:tcPr>
          <w:p w14:paraId="78236B50" w14:textId="77777777" w:rsidR="009342E9" w:rsidRPr="00A42031" w:rsidRDefault="009342E9" w:rsidP="00DD7943">
            <w:r>
              <w:t>Other health service</w:t>
            </w:r>
          </w:p>
        </w:tc>
      </w:tr>
      <w:tr w:rsidR="009342E9" w14:paraId="7775AB80" w14:textId="77777777" w:rsidTr="00DD7943">
        <w:trPr>
          <w:trHeight w:val="735"/>
        </w:trPr>
        <w:tc>
          <w:tcPr>
            <w:tcW w:w="704" w:type="dxa"/>
            <w:vMerge w:val="restart"/>
          </w:tcPr>
          <w:p w14:paraId="783086E4" w14:textId="77777777" w:rsidR="009342E9" w:rsidRDefault="009342E9" w:rsidP="00DD7943">
            <w:pPr>
              <w:rPr>
                <w:b/>
                <w:sz w:val="24"/>
                <w:szCs w:val="24"/>
              </w:rPr>
            </w:pPr>
            <w:r>
              <w:rPr>
                <w:b/>
                <w:sz w:val="24"/>
                <w:szCs w:val="24"/>
              </w:rPr>
              <w:t>8</w:t>
            </w:r>
          </w:p>
        </w:tc>
        <w:tc>
          <w:tcPr>
            <w:tcW w:w="5306" w:type="dxa"/>
            <w:vMerge w:val="restart"/>
          </w:tcPr>
          <w:p w14:paraId="78B3D98E" w14:textId="77777777" w:rsidR="009342E9" w:rsidRDefault="009342E9" w:rsidP="00DD7943">
            <w:r>
              <w:t>You have attempted to engage the Adult with appropriate community and social services, including (as relevant)</w:t>
            </w:r>
          </w:p>
          <w:p w14:paraId="26AE0FC1" w14:textId="77777777" w:rsidR="009342E9" w:rsidRDefault="009342E9" w:rsidP="009342E9">
            <w:pPr>
              <w:pStyle w:val="ListParagraph"/>
              <w:numPr>
                <w:ilvl w:val="0"/>
                <w:numId w:val="5"/>
              </w:numPr>
              <w:spacing w:after="0" w:line="240" w:lineRule="auto"/>
            </w:pPr>
            <w:r>
              <w:t>Housing and Homeless services due to accommodation issues.</w:t>
            </w:r>
          </w:p>
          <w:p w14:paraId="7E9F19A1" w14:textId="77777777" w:rsidR="009342E9" w:rsidRDefault="009342E9" w:rsidP="009342E9">
            <w:pPr>
              <w:pStyle w:val="ListParagraph"/>
              <w:numPr>
                <w:ilvl w:val="0"/>
                <w:numId w:val="5"/>
              </w:numPr>
              <w:spacing w:after="0" w:line="240" w:lineRule="auto"/>
            </w:pPr>
            <w:r>
              <w:t xml:space="preserve">Fire Service </w:t>
            </w:r>
          </w:p>
          <w:p w14:paraId="38A7305F" w14:textId="77777777" w:rsidR="009342E9" w:rsidRDefault="009342E9" w:rsidP="009342E9">
            <w:pPr>
              <w:pStyle w:val="ListParagraph"/>
              <w:numPr>
                <w:ilvl w:val="0"/>
                <w:numId w:val="5"/>
              </w:numPr>
              <w:spacing w:after="0" w:line="240" w:lineRule="auto"/>
            </w:pPr>
            <w:r>
              <w:t>Voluntary Sector supports</w:t>
            </w:r>
          </w:p>
          <w:p w14:paraId="00F78229" w14:textId="77777777" w:rsidR="009342E9" w:rsidRDefault="009342E9" w:rsidP="009342E9">
            <w:pPr>
              <w:pStyle w:val="ListParagraph"/>
              <w:numPr>
                <w:ilvl w:val="0"/>
                <w:numId w:val="5"/>
              </w:numPr>
              <w:spacing w:after="0" w:line="240" w:lineRule="auto"/>
            </w:pPr>
            <w:r>
              <w:t>Communities and Neighbourhood services</w:t>
            </w:r>
          </w:p>
          <w:p w14:paraId="3249039C" w14:textId="77777777" w:rsidR="009342E9" w:rsidRDefault="009342E9" w:rsidP="00DD7943">
            <w:pPr>
              <w:rPr>
                <w:b/>
                <w:sz w:val="24"/>
                <w:szCs w:val="24"/>
              </w:rPr>
            </w:pPr>
          </w:p>
        </w:tc>
        <w:tc>
          <w:tcPr>
            <w:tcW w:w="3006" w:type="dxa"/>
          </w:tcPr>
          <w:p w14:paraId="361C51AA" w14:textId="77777777" w:rsidR="009342E9" w:rsidRDefault="009342E9" w:rsidP="00DD7943">
            <w:pPr>
              <w:rPr>
                <w:b/>
                <w:sz w:val="24"/>
                <w:szCs w:val="24"/>
              </w:rPr>
            </w:pPr>
            <w:r w:rsidRPr="00DF6FD7">
              <w:t>A&amp;E</w:t>
            </w:r>
            <w:r>
              <w:t>/Ambulance services</w:t>
            </w:r>
          </w:p>
        </w:tc>
      </w:tr>
      <w:tr w:rsidR="009342E9" w14:paraId="10A0D3DD" w14:textId="77777777" w:rsidTr="00DD7943">
        <w:trPr>
          <w:trHeight w:val="735"/>
        </w:trPr>
        <w:tc>
          <w:tcPr>
            <w:tcW w:w="704" w:type="dxa"/>
            <w:vMerge/>
          </w:tcPr>
          <w:p w14:paraId="7841539E" w14:textId="77777777" w:rsidR="009342E9" w:rsidRDefault="009342E9" w:rsidP="00DD7943">
            <w:pPr>
              <w:rPr>
                <w:b/>
                <w:sz w:val="24"/>
                <w:szCs w:val="24"/>
              </w:rPr>
            </w:pPr>
          </w:p>
        </w:tc>
        <w:tc>
          <w:tcPr>
            <w:tcW w:w="5306" w:type="dxa"/>
            <w:vMerge/>
          </w:tcPr>
          <w:p w14:paraId="7D31D9FE" w14:textId="77777777" w:rsidR="009342E9" w:rsidRDefault="009342E9" w:rsidP="00DD7943"/>
        </w:tc>
        <w:tc>
          <w:tcPr>
            <w:tcW w:w="3006" w:type="dxa"/>
          </w:tcPr>
          <w:p w14:paraId="7C84E061" w14:textId="77777777" w:rsidR="009342E9" w:rsidRDefault="009342E9" w:rsidP="00DD7943">
            <w:pPr>
              <w:rPr>
                <w:b/>
                <w:sz w:val="24"/>
                <w:szCs w:val="24"/>
              </w:rPr>
            </w:pPr>
            <w:r>
              <w:t>Housing and Homeless service</w:t>
            </w:r>
          </w:p>
        </w:tc>
      </w:tr>
      <w:tr w:rsidR="009342E9" w14:paraId="5D26AC65" w14:textId="77777777" w:rsidTr="00DD7943">
        <w:trPr>
          <w:trHeight w:val="406"/>
        </w:trPr>
        <w:tc>
          <w:tcPr>
            <w:tcW w:w="704" w:type="dxa"/>
            <w:vMerge/>
          </w:tcPr>
          <w:p w14:paraId="04EC8B0C" w14:textId="77777777" w:rsidR="009342E9" w:rsidRDefault="009342E9" w:rsidP="00DD7943">
            <w:pPr>
              <w:rPr>
                <w:b/>
                <w:sz w:val="24"/>
                <w:szCs w:val="24"/>
              </w:rPr>
            </w:pPr>
          </w:p>
        </w:tc>
        <w:tc>
          <w:tcPr>
            <w:tcW w:w="5306" w:type="dxa"/>
            <w:vMerge/>
          </w:tcPr>
          <w:p w14:paraId="019F02F6" w14:textId="77777777" w:rsidR="009342E9" w:rsidRDefault="009342E9" w:rsidP="00DD7943"/>
        </w:tc>
        <w:tc>
          <w:tcPr>
            <w:tcW w:w="3006" w:type="dxa"/>
          </w:tcPr>
          <w:p w14:paraId="4C41424D" w14:textId="77777777" w:rsidR="009342E9" w:rsidRDefault="009342E9" w:rsidP="00DD7943">
            <w:r>
              <w:t xml:space="preserve">Fire Service </w:t>
            </w:r>
          </w:p>
          <w:p w14:paraId="7E9960E2" w14:textId="77777777" w:rsidR="009342E9" w:rsidRDefault="009342E9" w:rsidP="00DD7943">
            <w:pPr>
              <w:rPr>
                <w:b/>
                <w:sz w:val="24"/>
                <w:szCs w:val="24"/>
              </w:rPr>
            </w:pPr>
          </w:p>
        </w:tc>
      </w:tr>
      <w:tr w:rsidR="009342E9" w14:paraId="1D86F494" w14:textId="77777777" w:rsidTr="00DD7943">
        <w:trPr>
          <w:trHeight w:val="405"/>
        </w:trPr>
        <w:tc>
          <w:tcPr>
            <w:tcW w:w="704" w:type="dxa"/>
            <w:vMerge/>
          </w:tcPr>
          <w:p w14:paraId="2FB086EB" w14:textId="77777777" w:rsidR="009342E9" w:rsidRDefault="009342E9" w:rsidP="00DD7943">
            <w:pPr>
              <w:rPr>
                <w:b/>
                <w:sz w:val="24"/>
                <w:szCs w:val="24"/>
              </w:rPr>
            </w:pPr>
          </w:p>
        </w:tc>
        <w:tc>
          <w:tcPr>
            <w:tcW w:w="5306" w:type="dxa"/>
            <w:vMerge/>
          </w:tcPr>
          <w:p w14:paraId="2234B240" w14:textId="77777777" w:rsidR="009342E9" w:rsidRDefault="009342E9" w:rsidP="00DD7943"/>
        </w:tc>
        <w:tc>
          <w:tcPr>
            <w:tcW w:w="3006" w:type="dxa"/>
          </w:tcPr>
          <w:p w14:paraId="5AA702A9" w14:textId="77777777" w:rsidR="009342E9" w:rsidRDefault="009342E9" w:rsidP="00DD7943">
            <w:r>
              <w:t>Communities and Neighbourhood services</w:t>
            </w:r>
          </w:p>
          <w:p w14:paraId="541DFD30" w14:textId="77777777" w:rsidR="009342E9" w:rsidRDefault="009342E9" w:rsidP="00DD7943"/>
        </w:tc>
      </w:tr>
      <w:tr w:rsidR="009342E9" w14:paraId="7F8B4A5B" w14:textId="77777777" w:rsidTr="00DD7943">
        <w:trPr>
          <w:trHeight w:val="413"/>
        </w:trPr>
        <w:tc>
          <w:tcPr>
            <w:tcW w:w="704" w:type="dxa"/>
            <w:vMerge w:val="restart"/>
          </w:tcPr>
          <w:p w14:paraId="5D6198F2" w14:textId="77777777" w:rsidR="009342E9" w:rsidRDefault="009342E9" w:rsidP="00DD7943">
            <w:pPr>
              <w:rPr>
                <w:b/>
                <w:sz w:val="24"/>
                <w:szCs w:val="24"/>
              </w:rPr>
            </w:pPr>
            <w:r>
              <w:rPr>
                <w:b/>
                <w:sz w:val="24"/>
                <w:szCs w:val="24"/>
              </w:rPr>
              <w:t>9</w:t>
            </w:r>
          </w:p>
        </w:tc>
        <w:tc>
          <w:tcPr>
            <w:tcW w:w="5306" w:type="dxa"/>
            <w:vMerge w:val="restart"/>
          </w:tcPr>
          <w:p w14:paraId="04356B30" w14:textId="77777777" w:rsidR="009342E9" w:rsidRDefault="009342E9" w:rsidP="00DD7943">
            <w:r>
              <w:t>You have considered / referred to MARAC for domestic violence.</w:t>
            </w:r>
          </w:p>
          <w:p w14:paraId="105DB9CD" w14:textId="77777777" w:rsidR="009342E9" w:rsidRDefault="009342E9" w:rsidP="00DD7943">
            <w:pPr>
              <w:rPr>
                <w:b/>
                <w:sz w:val="24"/>
                <w:szCs w:val="24"/>
              </w:rPr>
            </w:pPr>
          </w:p>
        </w:tc>
        <w:tc>
          <w:tcPr>
            <w:tcW w:w="3006" w:type="dxa"/>
          </w:tcPr>
          <w:p w14:paraId="76ADAB23" w14:textId="77777777" w:rsidR="009342E9" w:rsidRPr="00A42031" w:rsidRDefault="009342E9" w:rsidP="00DD7943"/>
        </w:tc>
      </w:tr>
      <w:tr w:rsidR="009342E9" w14:paraId="41A8FF8B" w14:textId="77777777" w:rsidTr="00DD7943">
        <w:trPr>
          <w:trHeight w:val="412"/>
        </w:trPr>
        <w:tc>
          <w:tcPr>
            <w:tcW w:w="704" w:type="dxa"/>
            <w:vMerge/>
          </w:tcPr>
          <w:p w14:paraId="1DB093F3" w14:textId="77777777" w:rsidR="009342E9" w:rsidRDefault="009342E9" w:rsidP="00DD7943">
            <w:pPr>
              <w:rPr>
                <w:b/>
                <w:sz w:val="24"/>
                <w:szCs w:val="24"/>
              </w:rPr>
            </w:pPr>
          </w:p>
        </w:tc>
        <w:tc>
          <w:tcPr>
            <w:tcW w:w="5306" w:type="dxa"/>
            <w:vMerge/>
          </w:tcPr>
          <w:p w14:paraId="1A2893BE" w14:textId="77777777" w:rsidR="009342E9" w:rsidRDefault="009342E9" w:rsidP="00DD7943"/>
        </w:tc>
        <w:tc>
          <w:tcPr>
            <w:tcW w:w="3006" w:type="dxa"/>
          </w:tcPr>
          <w:p w14:paraId="21B897EC" w14:textId="77777777" w:rsidR="009342E9" w:rsidRPr="00A42031" w:rsidRDefault="009342E9" w:rsidP="00DD7943">
            <w:r w:rsidRPr="00A42031">
              <w:t>Considered</w:t>
            </w:r>
          </w:p>
        </w:tc>
      </w:tr>
      <w:tr w:rsidR="009342E9" w14:paraId="6DF9B8DB" w14:textId="77777777" w:rsidTr="00DD7943">
        <w:tc>
          <w:tcPr>
            <w:tcW w:w="704" w:type="dxa"/>
          </w:tcPr>
          <w:p w14:paraId="0B6043ED" w14:textId="77777777" w:rsidR="009342E9" w:rsidRDefault="009342E9" w:rsidP="00DD7943">
            <w:pPr>
              <w:rPr>
                <w:b/>
                <w:sz w:val="24"/>
                <w:szCs w:val="24"/>
              </w:rPr>
            </w:pPr>
            <w:r>
              <w:rPr>
                <w:b/>
                <w:sz w:val="24"/>
                <w:szCs w:val="24"/>
              </w:rPr>
              <w:t>10</w:t>
            </w:r>
          </w:p>
        </w:tc>
        <w:tc>
          <w:tcPr>
            <w:tcW w:w="5306" w:type="dxa"/>
          </w:tcPr>
          <w:p w14:paraId="071A9911" w14:textId="77777777" w:rsidR="009342E9" w:rsidRDefault="009342E9" w:rsidP="00DD7943">
            <w:r>
              <w:t xml:space="preserve">You have checked if the Adult has any dependencies (i.e. children, pets etc.) and that appropriate measures have been/are put in place. </w:t>
            </w:r>
          </w:p>
          <w:p w14:paraId="226EDCF8" w14:textId="77777777" w:rsidR="009342E9" w:rsidRDefault="009342E9" w:rsidP="00DD7943">
            <w:pPr>
              <w:rPr>
                <w:b/>
                <w:sz w:val="24"/>
                <w:szCs w:val="24"/>
              </w:rPr>
            </w:pPr>
          </w:p>
        </w:tc>
        <w:tc>
          <w:tcPr>
            <w:tcW w:w="3006" w:type="dxa"/>
          </w:tcPr>
          <w:p w14:paraId="121FEDFD" w14:textId="77777777" w:rsidR="009342E9" w:rsidRDefault="009342E9" w:rsidP="00DD7943">
            <w:pPr>
              <w:rPr>
                <w:b/>
                <w:sz w:val="24"/>
                <w:szCs w:val="24"/>
              </w:rPr>
            </w:pPr>
            <w:r>
              <w:lastRenderedPageBreak/>
              <w:t>Referred</w:t>
            </w:r>
          </w:p>
        </w:tc>
      </w:tr>
      <w:tr w:rsidR="009342E9" w14:paraId="023F72DA" w14:textId="77777777" w:rsidTr="00DD7943">
        <w:tc>
          <w:tcPr>
            <w:tcW w:w="704" w:type="dxa"/>
          </w:tcPr>
          <w:p w14:paraId="2035A15F" w14:textId="77777777" w:rsidR="009342E9" w:rsidRDefault="009342E9" w:rsidP="00DD7943">
            <w:pPr>
              <w:rPr>
                <w:b/>
                <w:sz w:val="24"/>
                <w:szCs w:val="24"/>
              </w:rPr>
            </w:pPr>
            <w:r>
              <w:rPr>
                <w:b/>
                <w:sz w:val="24"/>
                <w:szCs w:val="24"/>
              </w:rPr>
              <w:t>11</w:t>
            </w:r>
          </w:p>
        </w:tc>
        <w:tc>
          <w:tcPr>
            <w:tcW w:w="5306" w:type="dxa"/>
          </w:tcPr>
          <w:p w14:paraId="447C7E12" w14:textId="77777777" w:rsidR="009342E9" w:rsidRDefault="009342E9" w:rsidP="00DD7943">
            <w:r>
              <w:t>Criminal Justice Services have been contacted to establish if there is involvement.</w:t>
            </w:r>
          </w:p>
          <w:p w14:paraId="76FD5A18" w14:textId="77777777" w:rsidR="009342E9" w:rsidRDefault="009342E9" w:rsidP="00DD7943">
            <w:pPr>
              <w:rPr>
                <w:b/>
                <w:sz w:val="24"/>
                <w:szCs w:val="24"/>
              </w:rPr>
            </w:pPr>
          </w:p>
        </w:tc>
        <w:tc>
          <w:tcPr>
            <w:tcW w:w="3006" w:type="dxa"/>
          </w:tcPr>
          <w:p w14:paraId="70763796" w14:textId="77777777" w:rsidR="009342E9" w:rsidRDefault="009342E9" w:rsidP="00DD7943">
            <w:pPr>
              <w:rPr>
                <w:b/>
                <w:sz w:val="24"/>
                <w:szCs w:val="24"/>
              </w:rPr>
            </w:pPr>
          </w:p>
        </w:tc>
      </w:tr>
      <w:tr w:rsidR="009342E9" w14:paraId="436A8827" w14:textId="77777777" w:rsidTr="00DD7943">
        <w:tc>
          <w:tcPr>
            <w:tcW w:w="704" w:type="dxa"/>
          </w:tcPr>
          <w:p w14:paraId="5725C453" w14:textId="77777777" w:rsidR="009342E9" w:rsidRDefault="009342E9" w:rsidP="00DD7943">
            <w:pPr>
              <w:rPr>
                <w:b/>
                <w:sz w:val="24"/>
                <w:szCs w:val="24"/>
              </w:rPr>
            </w:pPr>
            <w:r>
              <w:rPr>
                <w:b/>
                <w:sz w:val="24"/>
                <w:szCs w:val="24"/>
              </w:rPr>
              <w:t>12</w:t>
            </w:r>
          </w:p>
        </w:tc>
        <w:tc>
          <w:tcPr>
            <w:tcW w:w="5306" w:type="dxa"/>
          </w:tcPr>
          <w:p w14:paraId="5EE987A8" w14:textId="77777777" w:rsidR="009342E9" w:rsidRDefault="009342E9" w:rsidP="00DD7943">
            <w:r>
              <w:t>You have checked that the adult has access to appropriate welfare benefits.</w:t>
            </w:r>
          </w:p>
          <w:p w14:paraId="40063144" w14:textId="77777777" w:rsidR="009342E9" w:rsidRDefault="009342E9" w:rsidP="00DD7943">
            <w:pPr>
              <w:rPr>
                <w:b/>
                <w:sz w:val="24"/>
                <w:szCs w:val="24"/>
              </w:rPr>
            </w:pPr>
          </w:p>
        </w:tc>
        <w:tc>
          <w:tcPr>
            <w:tcW w:w="3006" w:type="dxa"/>
          </w:tcPr>
          <w:p w14:paraId="489CD37F" w14:textId="77777777" w:rsidR="009342E9" w:rsidRDefault="009342E9" w:rsidP="00DD7943">
            <w:pPr>
              <w:rPr>
                <w:b/>
                <w:sz w:val="24"/>
                <w:szCs w:val="24"/>
              </w:rPr>
            </w:pPr>
          </w:p>
        </w:tc>
      </w:tr>
      <w:tr w:rsidR="009342E9" w14:paraId="688346F5" w14:textId="77777777" w:rsidTr="00DD7943">
        <w:tc>
          <w:tcPr>
            <w:tcW w:w="704" w:type="dxa"/>
          </w:tcPr>
          <w:p w14:paraId="68F611EA" w14:textId="77777777" w:rsidR="009342E9" w:rsidRDefault="009342E9" w:rsidP="00DD7943">
            <w:pPr>
              <w:rPr>
                <w:b/>
                <w:sz w:val="24"/>
                <w:szCs w:val="24"/>
              </w:rPr>
            </w:pPr>
            <w:r>
              <w:rPr>
                <w:b/>
                <w:sz w:val="24"/>
                <w:szCs w:val="24"/>
              </w:rPr>
              <w:t>13</w:t>
            </w:r>
          </w:p>
        </w:tc>
        <w:tc>
          <w:tcPr>
            <w:tcW w:w="5306" w:type="dxa"/>
          </w:tcPr>
          <w:p w14:paraId="431A1E5E" w14:textId="77777777" w:rsidR="009342E9" w:rsidRDefault="009342E9" w:rsidP="00DD7943">
            <w:r>
              <w:t xml:space="preserve">Legal services have been consulted  </w:t>
            </w:r>
          </w:p>
          <w:p w14:paraId="5C0BC640" w14:textId="77777777" w:rsidR="009342E9" w:rsidRDefault="009342E9" w:rsidP="00DD7943">
            <w:r>
              <w:t>Consider inviting legal to the meeting (be clear why)</w:t>
            </w:r>
          </w:p>
          <w:p w14:paraId="4AC177BD" w14:textId="77777777" w:rsidR="009342E9" w:rsidRDefault="009342E9" w:rsidP="00DD7943">
            <w:pPr>
              <w:rPr>
                <w:b/>
                <w:sz w:val="24"/>
                <w:szCs w:val="24"/>
              </w:rPr>
            </w:pPr>
          </w:p>
        </w:tc>
        <w:tc>
          <w:tcPr>
            <w:tcW w:w="3006" w:type="dxa"/>
          </w:tcPr>
          <w:p w14:paraId="7B1B7C7A" w14:textId="77777777" w:rsidR="009342E9" w:rsidRDefault="009342E9" w:rsidP="00DD7943">
            <w:pPr>
              <w:rPr>
                <w:b/>
                <w:sz w:val="24"/>
                <w:szCs w:val="24"/>
              </w:rPr>
            </w:pPr>
          </w:p>
        </w:tc>
      </w:tr>
      <w:tr w:rsidR="009342E9" w14:paraId="670BFDBB" w14:textId="77777777" w:rsidTr="00DD7943">
        <w:tc>
          <w:tcPr>
            <w:tcW w:w="704" w:type="dxa"/>
          </w:tcPr>
          <w:p w14:paraId="0F4621EA" w14:textId="77777777" w:rsidR="009342E9" w:rsidRDefault="009342E9" w:rsidP="00DD7943">
            <w:pPr>
              <w:rPr>
                <w:b/>
                <w:sz w:val="24"/>
                <w:szCs w:val="24"/>
              </w:rPr>
            </w:pPr>
            <w:r>
              <w:rPr>
                <w:b/>
                <w:sz w:val="24"/>
                <w:szCs w:val="24"/>
              </w:rPr>
              <w:t>14</w:t>
            </w:r>
          </w:p>
        </w:tc>
        <w:tc>
          <w:tcPr>
            <w:tcW w:w="5306" w:type="dxa"/>
          </w:tcPr>
          <w:p w14:paraId="108FB99F" w14:textId="77777777" w:rsidR="009342E9" w:rsidRPr="00A42031" w:rsidRDefault="009342E9" w:rsidP="00DD7943">
            <w:r>
              <w:t>You have attempted to engage with and involve family and friends, where known. List.</w:t>
            </w:r>
          </w:p>
          <w:p w14:paraId="74D0B14C" w14:textId="77777777" w:rsidR="009342E9" w:rsidRDefault="009342E9" w:rsidP="00DD7943">
            <w:pPr>
              <w:rPr>
                <w:b/>
                <w:sz w:val="24"/>
                <w:szCs w:val="24"/>
              </w:rPr>
            </w:pPr>
          </w:p>
        </w:tc>
        <w:tc>
          <w:tcPr>
            <w:tcW w:w="3006" w:type="dxa"/>
          </w:tcPr>
          <w:p w14:paraId="052E94B8" w14:textId="77777777" w:rsidR="009342E9" w:rsidRDefault="009342E9" w:rsidP="00DD7943">
            <w:pPr>
              <w:rPr>
                <w:b/>
                <w:sz w:val="24"/>
                <w:szCs w:val="24"/>
              </w:rPr>
            </w:pPr>
          </w:p>
        </w:tc>
      </w:tr>
      <w:tr w:rsidR="009342E9" w14:paraId="6DB5D2B6" w14:textId="77777777" w:rsidTr="00DD7943">
        <w:tc>
          <w:tcPr>
            <w:tcW w:w="704" w:type="dxa"/>
          </w:tcPr>
          <w:p w14:paraId="5211D330" w14:textId="77777777" w:rsidR="009342E9" w:rsidRDefault="009342E9" w:rsidP="00DD7943">
            <w:pPr>
              <w:rPr>
                <w:b/>
                <w:sz w:val="24"/>
                <w:szCs w:val="24"/>
              </w:rPr>
            </w:pPr>
            <w:r>
              <w:rPr>
                <w:b/>
                <w:sz w:val="24"/>
                <w:szCs w:val="24"/>
              </w:rPr>
              <w:t>15</w:t>
            </w:r>
          </w:p>
          <w:p w14:paraId="10DFB3A1" w14:textId="77777777" w:rsidR="009342E9" w:rsidRDefault="009342E9" w:rsidP="00DD7943">
            <w:pPr>
              <w:rPr>
                <w:b/>
                <w:sz w:val="24"/>
                <w:szCs w:val="24"/>
              </w:rPr>
            </w:pPr>
          </w:p>
        </w:tc>
        <w:tc>
          <w:tcPr>
            <w:tcW w:w="5306" w:type="dxa"/>
          </w:tcPr>
          <w:p w14:paraId="70FADD22" w14:textId="77777777" w:rsidR="009342E9" w:rsidRPr="00A42031" w:rsidRDefault="009342E9" w:rsidP="00DD7943">
            <w:r>
              <w:t>Other?</w:t>
            </w:r>
          </w:p>
        </w:tc>
        <w:tc>
          <w:tcPr>
            <w:tcW w:w="3006" w:type="dxa"/>
          </w:tcPr>
          <w:p w14:paraId="630263A6" w14:textId="77777777" w:rsidR="009342E9" w:rsidRDefault="009342E9" w:rsidP="00DD7943">
            <w:pPr>
              <w:rPr>
                <w:b/>
                <w:sz w:val="24"/>
                <w:szCs w:val="24"/>
              </w:rPr>
            </w:pPr>
          </w:p>
        </w:tc>
      </w:tr>
    </w:tbl>
    <w:p w14:paraId="7361702C" w14:textId="77777777" w:rsidR="009342E9" w:rsidRDefault="009342E9" w:rsidP="009342E9">
      <w:pPr>
        <w:rPr>
          <w:b/>
          <w:sz w:val="24"/>
          <w:szCs w:val="24"/>
        </w:rPr>
      </w:pPr>
    </w:p>
    <w:p w14:paraId="7C194317" w14:textId="77777777" w:rsidR="009342E9" w:rsidRDefault="009342E9" w:rsidP="009342E9">
      <w:pPr>
        <w:rPr>
          <w:b/>
          <w:sz w:val="24"/>
          <w:szCs w:val="24"/>
        </w:rPr>
      </w:pPr>
      <w:r>
        <w:rPr>
          <w:b/>
          <w:sz w:val="24"/>
          <w:szCs w:val="24"/>
        </w:rPr>
        <w:br w:type="page"/>
      </w:r>
    </w:p>
    <w:p w14:paraId="702FB3FA" w14:textId="77777777" w:rsidR="009342E9" w:rsidRPr="00B022F5" w:rsidRDefault="009342E9" w:rsidP="009342E9">
      <w:pPr>
        <w:spacing w:after="0"/>
        <w:jc w:val="center"/>
        <w:rPr>
          <w:b/>
          <w:sz w:val="28"/>
          <w:szCs w:val="28"/>
        </w:rPr>
      </w:pPr>
      <w:r>
        <w:rPr>
          <w:b/>
          <w:sz w:val="28"/>
          <w:szCs w:val="28"/>
        </w:rPr>
        <w:lastRenderedPageBreak/>
        <w:t>Flow Chart of Engagement Escalation Protocol:</w:t>
      </w:r>
    </w:p>
    <w:p w14:paraId="711869F0" w14:textId="77777777" w:rsidR="009342E9" w:rsidRPr="009342E9" w:rsidRDefault="009342E9" w:rsidP="009342E9">
      <w:pPr>
        <w:spacing w:after="0"/>
        <w:ind w:left="-454" w:right="-283"/>
        <w:jc w:val="center"/>
        <w:rPr>
          <w:b/>
          <w:sz w:val="20"/>
          <w:szCs w:val="20"/>
        </w:rPr>
      </w:pPr>
      <w:r w:rsidRPr="009342E9">
        <w:rPr>
          <w:b/>
          <w:sz w:val="20"/>
          <w:szCs w:val="20"/>
        </w:rPr>
        <w:t>Triggered following Multiple Report of Harm IRD meeting</w:t>
      </w:r>
    </w:p>
    <w:p w14:paraId="50A52096" w14:textId="77777777" w:rsidR="009342E9" w:rsidRDefault="009342E9" w:rsidP="009342E9">
      <w:pPr>
        <w:spacing w:after="0"/>
        <w:ind w:left="-510" w:right="-510"/>
        <w:jc w:val="center"/>
        <w:rPr>
          <w:b/>
        </w:rPr>
      </w:pPr>
    </w:p>
    <w:p w14:paraId="69DFF2D5" w14:textId="77777777" w:rsidR="009342E9" w:rsidRPr="008A68E3" w:rsidRDefault="009342E9" w:rsidP="009342E9">
      <w:pPr>
        <w:pBdr>
          <w:top w:val="single" w:sz="4" w:space="1" w:color="auto"/>
          <w:left w:val="single" w:sz="4" w:space="4" w:color="auto"/>
          <w:bottom w:val="single" w:sz="4" w:space="1" w:color="auto"/>
          <w:right w:val="single" w:sz="4" w:space="4" w:color="auto"/>
        </w:pBdr>
        <w:spacing w:after="0"/>
        <w:ind w:left="-510" w:right="-510"/>
        <w:rPr>
          <w:b/>
          <w:sz w:val="20"/>
          <w:szCs w:val="20"/>
        </w:rPr>
      </w:pPr>
      <w:r>
        <w:rPr>
          <w:b/>
          <w:sz w:val="20"/>
          <w:szCs w:val="20"/>
        </w:rPr>
        <w:t>1</w:t>
      </w:r>
    </w:p>
    <w:p w14:paraId="4F73B523"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b/>
          <w:sz w:val="20"/>
          <w:szCs w:val="20"/>
        </w:rPr>
      </w:pPr>
      <w:r w:rsidRPr="00985CA8">
        <w:rPr>
          <w:b/>
          <w:sz w:val="20"/>
          <w:szCs w:val="20"/>
        </w:rPr>
        <w:t>Adult meets 3 point test and is at risk of serious harm</w:t>
      </w:r>
    </w:p>
    <w:p w14:paraId="24F8DECD"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b/>
          <w:sz w:val="20"/>
          <w:szCs w:val="20"/>
        </w:rPr>
      </w:pPr>
      <w:r w:rsidRPr="00985CA8">
        <w:rPr>
          <w:b/>
          <w:sz w:val="20"/>
          <w:szCs w:val="20"/>
        </w:rPr>
        <w:t>Has already or is likely to decline intervention, OR</w:t>
      </w:r>
    </w:p>
    <w:p w14:paraId="7A882534"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b/>
          <w:sz w:val="20"/>
          <w:szCs w:val="20"/>
        </w:rPr>
      </w:pPr>
      <w:r w:rsidRPr="00985CA8">
        <w:rPr>
          <w:b/>
          <w:sz w:val="20"/>
          <w:szCs w:val="20"/>
        </w:rPr>
        <w:t>Has significant history of disengaging with agreed support/protection plan, OR</w:t>
      </w:r>
    </w:p>
    <w:p w14:paraId="540827B6"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b/>
          <w:sz w:val="20"/>
          <w:szCs w:val="20"/>
        </w:rPr>
      </w:pPr>
      <w:r w:rsidRPr="00985CA8">
        <w:rPr>
          <w:b/>
          <w:sz w:val="20"/>
          <w:szCs w:val="20"/>
        </w:rPr>
        <w:t>There is evidence of disguised compliance</w:t>
      </w:r>
    </w:p>
    <w:p w14:paraId="57E859A4" w14:textId="77777777" w:rsidR="009342E9" w:rsidRPr="00985CA8" w:rsidRDefault="009342E9" w:rsidP="009342E9">
      <w:pPr>
        <w:spacing w:after="0"/>
        <w:ind w:left="-510" w:right="-510"/>
        <w:jc w:val="center"/>
        <w:rPr>
          <w:sz w:val="20"/>
          <w:szCs w:val="20"/>
        </w:rPr>
      </w:pPr>
      <w:r w:rsidRPr="00985CA8">
        <w:rPr>
          <w:noProof/>
          <w:sz w:val="20"/>
          <w:szCs w:val="20"/>
          <w:lang w:eastAsia="en-GB"/>
        </w:rPr>
        <mc:AlternateContent>
          <mc:Choice Requires="wps">
            <w:drawing>
              <wp:anchor distT="0" distB="0" distL="114300" distR="114300" simplePos="0" relativeHeight="251659264" behindDoc="0" locked="0" layoutInCell="1" allowOverlap="1" wp14:anchorId="22F8A225" wp14:editId="37713491">
                <wp:simplePos x="0" y="0"/>
                <wp:positionH relativeFrom="column">
                  <wp:posOffset>3213735</wp:posOffset>
                </wp:positionH>
                <wp:positionV relativeFrom="paragraph">
                  <wp:posOffset>44450</wp:posOffset>
                </wp:positionV>
                <wp:extent cx="247650" cy="285750"/>
                <wp:effectExtent l="19050" t="0" r="19050" b="38100"/>
                <wp:wrapNone/>
                <wp:docPr id="42" name="Down Arrow 42"/>
                <wp:cNvGraphicFramePr/>
                <a:graphic xmlns:a="http://schemas.openxmlformats.org/drawingml/2006/main">
                  <a:graphicData uri="http://schemas.microsoft.com/office/word/2010/wordprocessingShape">
                    <wps:wsp>
                      <wps:cNvSpPr/>
                      <wps:spPr>
                        <a:xfrm>
                          <a:off x="0" y="0"/>
                          <a:ext cx="247650" cy="2857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ED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2" o:spid="_x0000_s1026" type="#_x0000_t67" style="position:absolute;margin-left:253.05pt;margin-top:3.5pt;width:1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" adj="12240" fillcolor="black [3213]" strokecolor="#1f4d78 [1604]" strokeweight="1pt"/>
            </w:pict>
          </mc:Fallback>
        </mc:AlternateContent>
      </w:r>
    </w:p>
    <w:p w14:paraId="07C3D155" w14:textId="77777777" w:rsidR="009342E9" w:rsidRPr="00985CA8" w:rsidRDefault="009342E9" w:rsidP="009342E9">
      <w:pPr>
        <w:spacing w:after="0"/>
        <w:ind w:left="-510" w:right="-510"/>
        <w:jc w:val="center"/>
        <w:rPr>
          <w:sz w:val="20"/>
          <w:szCs w:val="20"/>
        </w:rPr>
      </w:pPr>
    </w:p>
    <w:p w14:paraId="7E425ACE"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rPr>
          <w:b/>
          <w:sz w:val="20"/>
          <w:szCs w:val="20"/>
        </w:rPr>
      </w:pPr>
      <w:r>
        <w:rPr>
          <w:b/>
          <w:sz w:val="20"/>
          <w:szCs w:val="20"/>
        </w:rPr>
        <w:t>2</w:t>
      </w:r>
    </w:p>
    <w:p w14:paraId="52A28220"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 xml:space="preserve"> </w:t>
      </w:r>
      <w:r>
        <w:rPr>
          <w:sz w:val="20"/>
          <w:szCs w:val="20"/>
        </w:rPr>
        <w:t>Engagement Escalation Protocol</w:t>
      </w:r>
      <w:r w:rsidRPr="00985CA8">
        <w:rPr>
          <w:sz w:val="20"/>
          <w:szCs w:val="20"/>
        </w:rPr>
        <w:t xml:space="preserve"> Initiated by:</w:t>
      </w:r>
    </w:p>
    <w:p w14:paraId="3F66F80A"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Inter-agency chronology expansion</w:t>
      </w:r>
    </w:p>
    <w:p w14:paraId="6C467F7B"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Initiation of engagement checklist (this will help establish which agencies may be in contact with adult so could contribute to the process and ensure the fullest picture is known and understood</w:t>
      </w:r>
      <w:r>
        <w:rPr>
          <w:sz w:val="20"/>
          <w:szCs w:val="20"/>
        </w:rPr>
        <w:t>)</w:t>
      </w:r>
    </w:p>
    <w:p w14:paraId="67958871"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Circulated to relevant inter-agency partners</w:t>
      </w:r>
    </w:p>
    <w:p w14:paraId="6EA05381" w14:textId="77777777" w:rsidR="009342E9" w:rsidRPr="00985CA8" w:rsidRDefault="009342E9" w:rsidP="009342E9">
      <w:pPr>
        <w:spacing w:after="0"/>
        <w:ind w:left="-510" w:right="-510"/>
        <w:jc w:val="center"/>
        <w:rPr>
          <w:sz w:val="20"/>
          <w:szCs w:val="20"/>
        </w:rPr>
      </w:pPr>
      <w:r w:rsidRPr="00985CA8">
        <w:rPr>
          <w:noProof/>
          <w:sz w:val="20"/>
          <w:szCs w:val="20"/>
          <w:lang w:eastAsia="en-GB"/>
        </w:rPr>
        <mc:AlternateContent>
          <mc:Choice Requires="wps">
            <w:drawing>
              <wp:anchor distT="0" distB="0" distL="114300" distR="114300" simplePos="0" relativeHeight="251660288" behindDoc="0" locked="0" layoutInCell="1" allowOverlap="1" wp14:anchorId="0CFA7153" wp14:editId="7EDA3E09">
                <wp:simplePos x="0" y="0"/>
                <wp:positionH relativeFrom="column">
                  <wp:posOffset>3209925</wp:posOffset>
                </wp:positionH>
                <wp:positionV relativeFrom="paragraph">
                  <wp:posOffset>59690</wp:posOffset>
                </wp:positionV>
                <wp:extent cx="247650" cy="285750"/>
                <wp:effectExtent l="19050" t="0" r="19050" b="38100"/>
                <wp:wrapNone/>
                <wp:docPr id="44" name="Down Arrow 44"/>
                <wp:cNvGraphicFramePr/>
                <a:graphic xmlns:a="http://schemas.openxmlformats.org/drawingml/2006/main">
                  <a:graphicData uri="http://schemas.microsoft.com/office/word/2010/wordprocessingShape">
                    <wps:wsp>
                      <wps:cNvSpPr/>
                      <wps:spPr>
                        <a:xfrm>
                          <a:off x="0" y="0"/>
                          <a:ext cx="247650" cy="285750"/>
                        </a:xfrm>
                        <a:prstGeom prst="downArrow">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7AF99" id="Down Arrow 44" o:spid="_x0000_s1026" type="#_x0000_t67" style="position:absolute;margin-left:252.75pt;margin-top:4.7pt;width:19.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" adj="12240" fillcolor="black [3213]" strokecolor="#41719c" strokeweight="1pt"/>
            </w:pict>
          </mc:Fallback>
        </mc:AlternateContent>
      </w:r>
    </w:p>
    <w:p w14:paraId="17B070C1" w14:textId="77777777" w:rsidR="009342E9" w:rsidRPr="00985CA8" w:rsidRDefault="009342E9" w:rsidP="009342E9">
      <w:pPr>
        <w:spacing w:after="0"/>
        <w:ind w:left="-510" w:right="-510"/>
        <w:jc w:val="center"/>
        <w:rPr>
          <w:sz w:val="20"/>
          <w:szCs w:val="20"/>
        </w:rPr>
      </w:pPr>
    </w:p>
    <w:p w14:paraId="66E25D60"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rPr>
          <w:b/>
          <w:sz w:val="20"/>
          <w:szCs w:val="20"/>
        </w:rPr>
      </w:pPr>
      <w:r w:rsidRPr="00985CA8">
        <w:rPr>
          <w:b/>
          <w:sz w:val="20"/>
          <w:szCs w:val="20"/>
        </w:rPr>
        <w:t>3</w:t>
      </w:r>
    </w:p>
    <w:p w14:paraId="15250DBC"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 xml:space="preserve"> Inter-agency</w:t>
      </w:r>
      <w:r>
        <w:rPr>
          <w:sz w:val="20"/>
          <w:szCs w:val="20"/>
        </w:rPr>
        <w:t xml:space="preserve"> Engagement Escalation Oversight Group (EEOG) Meeting arranged</w:t>
      </w:r>
    </w:p>
    <w:p w14:paraId="498CA150"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Consider inter-agency chronology</w:t>
      </w:r>
    </w:p>
    <w:p w14:paraId="331566DC"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 xml:space="preserve">Consider engagement opportunity gaps </w:t>
      </w:r>
    </w:p>
    <w:p w14:paraId="5717D5DF"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Agree approaches to engage adult and reduce risk</w:t>
      </w:r>
      <w:r>
        <w:rPr>
          <w:sz w:val="20"/>
          <w:szCs w:val="20"/>
        </w:rPr>
        <w:t xml:space="preserve"> (Single point of contact) and contact loop with EEOG</w:t>
      </w:r>
    </w:p>
    <w:p w14:paraId="48749E95" w14:textId="77777777" w:rsidR="009342E9" w:rsidRPr="00985CA8" w:rsidRDefault="009342E9" w:rsidP="009342E9">
      <w:pPr>
        <w:spacing w:after="0"/>
        <w:ind w:left="-510" w:right="-510"/>
        <w:jc w:val="center"/>
        <w:rPr>
          <w:sz w:val="20"/>
          <w:szCs w:val="20"/>
        </w:rPr>
      </w:pPr>
      <w:r w:rsidRPr="00985CA8">
        <w:rPr>
          <w:noProof/>
          <w:sz w:val="20"/>
          <w:szCs w:val="20"/>
          <w:lang w:eastAsia="en-GB"/>
        </w:rPr>
        <mc:AlternateContent>
          <mc:Choice Requires="wps">
            <w:drawing>
              <wp:anchor distT="0" distB="0" distL="114300" distR="114300" simplePos="0" relativeHeight="251661312" behindDoc="0" locked="0" layoutInCell="1" allowOverlap="1" wp14:anchorId="158AEB04" wp14:editId="0D66A2CB">
                <wp:simplePos x="0" y="0"/>
                <wp:positionH relativeFrom="column">
                  <wp:posOffset>3209925</wp:posOffset>
                </wp:positionH>
                <wp:positionV relativeFrom="paragraph">
                  <wp:posOffset>47625</wp:posOffset>
                </wp:positionV>
                <wp:extent cx="247650" cy="285750"/>
                <wp:effectExtent l="19050" t="0" r="19050" b="38100"/>
                <wp:wrapNone/>
                <wp:docPr id="45" name="Down Arrow 45"/>
                <wp:cNvGraphicFramePr/>
                <a:graphic xmlns:a="http://schemas.openxmlformats.org/drawingml/2006/main">
                  <a:graphicData uri="http://schemas.microsoft.com/office/word/2010/wordprocessingShape">
                    <wps:wsp>
                      <wps:cNvSpPr/>
                      <wps:spPr>
                        <a:xfrm>
                          <a:off x="0" y="0"/>
                          <a:ext cx="247650" cy="285750"/>
                        </a:xfrm>
                        <a:prstGeom prst="down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8386" id="Down Arrow 45" o:spid="_x0000_s1026" type="#_x0000_t67" style="position:absolute;margin-left:252.75pt;margin-top:3.75pt;width:1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" adj="12240" fillcolor="windowText" strokecolor="#41719c" strokeweight="1pt"/>
            </w:pict>
          </mc:Fallback>
        </mc:AlternateContent>
      </w:r>
    </w:p>
    <w:p w14:paraId="3CF49A6A" w14:textId="77777777" w:rsidR="009342E9" w:rsidRPr="00985CA8" w:rsidRDefault="009342E9" w:rsidP="009342E9">
      <w:pPr>
        <w:spacing w:after="0"/>
        <w:ind w:left="-510" w:right="-510"/>
        <w:jc w:val="center"/>
        <w:rPr>
          <w:sz w:val="20"/>
          <w:szCs w:val="20"/>
        </w:rPr>
      </w:pPr>
    </w:p>
    <w:p w14:paraId="0ED497A6"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rPr>
          <w:b/>
          <w:sz w:val="20"/>
          <w:szCs w:val="20"/>
        </w:rPr>
      </w:pPr>
      <w:r w:rsidRPr="00985CA8">
        <w:rPr>
          <w:b/>
          <w:sz w:val="20"/>
          <w:szCs w:val="20"/>
        </w:rPr>
        <w:t>4</w:t>
      </w:r>
    </w:p>
    <w:p w14:paraId="0CCA6531"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 xml:space="preserve"> Work towards engagement with adult through building rapport and trust</w:t>
      </w:r>
    </w:p>
    <w:p w14:paraId="4B98D0E2"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 xml:space="preserve">Negotiating </w:t>
      </w:r>
    </w:p>
    <w:p w14:paraId="40923DE7"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At t</w:t>
      </w:r>
      <w:r>
        <w:rPr>
          <w:sz w:val="20"/>
          <w:szCs w:val="20"/>
        </w:rPr>
        <w:t>he adult’s</w:t>
      </w:r>
      <w:r w:rsidRPr="00985CA8">
        <w:rPr>
          <w:sz w:val="20"/>
          <w:szCs w:val="20"/>
        </w:rPr>
        <w:t xml:space="preserve"> pace</w:t>
      </w:r>
    </w:p>
    <w:p w14:paraId="455D8B8D"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Being sensitive and persistent</w:t>
      </w:r>
    </w:p>
    <w:p w14:paraId="30BF88C0"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jc w:val="center"/>
        <w:rPr>
          <w:sz w:val="20"/>
          <w:szCs w:val="20"/>
        </w:rPr>
      </w:pPr>
      <w:r w:rsidRPr="00985CA8">
        <w:rPr>
          <w:sz w:val="20"/>
          <w:szCs w:val="20"/>
        </w:rPr>
        <w:t>Starting with what can be agreed</w:t>
      </w:r>
    </w:p>
    <w:p w14:paraId="3EEDF023" w14:textId="77777777" w:rsidR="009342E9" w:rsidRPr="00985CA8" w:rsidRDefault="009342E9" w:rsidP="009342E9">
      <w:pPr>
        <w:spacing w:after="0"/>
        <w:ind w:left="-510" w:right="-510"/>
        <w:jc w:val="center"/>
        <w:rPr>
          <w:sz w:val="20"/>
          <w:szCs w:val="20"/>
        </w:rPr>
      </w:pPr>
      <w:r w:rsidRPr="00985CA8">
        <w:rPr>
          <w:noProof/>
          <w:sz w:val="20"/>
          <w:szCs w:val="20"/>
          <w:lang w:eastAsia="en-GB"/>
        </w:rPr>
        <mc:AlternateContent>
          <mc:Choice Requires="wps">
            <w:drawing>
              <wp:anchor distT="0" distB="0" distL="114300" distR="114300" simplePos="0" relativeHeight="251662336" behindDoc="0" locked="0" layoutInCell="1" allowOverlap="1" wp14:anchorId="357FEAE9" wp14:editId="0763CA15">
                <wp:simplePos x="0" y="0"/>
                <wp:positionH relativeFrom="column">
                  <wp:posOffset>3209925</wp:posOffset>
                </wp:positionH>
                <wp:positionV relativeFrom="paragraph">
                  <wp:posOffset>22225</wp:posOffset>
                </wp:positionV>
                <wp:extent cx="276225" cy="647700"/>
                <wp:effectExtent l="19050" t="19050" r="47625" b="38100"/>
                <wp:wrapNone/>
                <wp:docPr id="46" name="Up-Down Arrow 46"/>
                <wp:cNvGraphicFramePr/>
                <a:graphic xmlns:a="http://schemas.openxmlformats.org/drawingml/2006/main">
                  <a:graphicData uri="http://schemas.microsoft.com/office/word/2010/wordprocessingShape">
                    <wps:wsp>
                      <wps:cNvSpPr/>
                      <wps:spPr>
                        <a:xfrm>
                          <a:off x="0" y="0"/>
                          <a:ext cx="276225" cy="647700"/>
                        </a:xfrm>
                        <a:prstGeom prst="up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296EE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46" o:spid="_x0000_s1026" type="#_x0000_t70" style="position:absolute;margin-left:252.75pt;margin-top:1.75pt;width:21.7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" adj=",4606" fillcolor="black [3213]" strokecolor="#1f4d78 [1604]" strokeweight="1pt"/>
            </w:pict>
          </mc:Fallback>
        </mc:AlternateContent>
      </w:r>
    </w:p>
    <w:p w14:paraId="49224602" w14:textId="77777777" w:rsidR="009342E9" w:rsidRPr="00985CA8" w:rsidRDefault="009342E9" w:rsidP="009342E9">
      <w:pPr>
        <w:spacing w:after="0"/>
        <w:ind w:left="-510" w:right="-510"/>
        <w:jc w:val="center"/>
        <w:rPr>
          <w:color w:val="000000" w:themeColor="text1"/>
          <w:sz w:val="20"/>
          <w:szCs w:val="20"/>
        </w:rPr>
      </w:pPr>
    </w:p>
    <w:p w14:paraId="42E485A8" w14:textId="77777777" w:rsidR="009342E9" w:rsidRPr="00985CA8" w:rsidRDefault="009342E9" w:rsidP="009342E9">
      <w:pPr>
        <w:spacing w:after="0"/>
        <w:ind w:left="-510" w:right="-510"/>
        <w:jc w:val="center"/>
        <w:rPr>
          <w:sz w:val="20"/>
          <w:szCs w:val="20"/>
        </w:rPr>
      </w:pPr>
    </w:p>
    <w:p w14:paraId="53E84A15" w14:textId="77777777" w:rsidR="009342E9" w:rsidRPr="00985CA8" w:rsidRDefault="009342E9" w:rsidP="009342E9">
      <w:pPr>
        <w:spacing w:after="0"/>
        <w:ind w:left="-510" w:right="-510"/>
        <w:jc w:val="center"/>
        <w:rPr>
          <w:sz w:val="20"/>
          <w:szCs w:val="20"/>
        </w:rPr>
      </w:pPr>
    </w:p>
    <w:p w14:paraId="116EEF7C" w14:textId="77777777" w:rsidR="009342E9" w:rsidRPr="00985CA8" w:rsidRDefault="009342E9" w:rsidP="009342E9">
      <w:pPr>
        <w:pBdr>
          <w:top w:val="single" w:sz="4" w:space="1" w:color="auto"/>
          <w:left w:val="single" w:sz="4" w:space="4" w:color="auto"/>
          <w:bottom w:val="single" w:sz="4" w:space="10" w:color="auto"/>
          <w:right w:val="single" w:sz="4" w:space="4" w:color="auto"/>
        </w:pBdr>
        <w:spacing w:after="0"/>
        <w:ind w:left="-510" w:right="-510"/>
        <w:rPr>
          <w:b/>
          <w:sz w:val="20"/>
          <w:szCs w:val="20"/>
        </w:rPr>
      </w:pPr>
      <w:r w:rsidRPr="00985CA8">
        <w:rPr>
          <w:b/>
          <w:sz w:val="20"/>
          <w:szCs w:val="20"/>
        </w:rPr>
        <w:t>5</w:t>
      </w:r>
    </w:p>
    <w:p w14:paraId="67E61214" w14:textId="77777777" w:rsidR="009342E9" w:rsidRPr="00985CA8" w:rsidRDefault="009342E9" w:rsidP="009342E9">
      <w:pPr>
        <w:pBdr>
          <w:top w:val="single" w:sz="4" w:space="1" w:color="auto"/>
          <w:left w:val="single" w:sz="4" w:space="4" w:color="auto"/>
          <w:bottom w:val="single" w:sz="4" w:space="10" w:color="auto"/>
          <w:right w:val="single" w:sz="4" w:space="4" w:color="auto"/>
        </w:pBdr>
        <w:spacing w:after="0"/>
        <w:ind w:left="-510" w:right="-510" w:firstLine="1230"/>
        <w:rPr>
          <w:sz w:val="20"/>
          <w:szCs w:val="20"/>
        </w:rPr>
      </w:pPr>
      <w:r w:rsidRPr="00985CA8">
        <w:rPr>
          <w:sz w:val="20"/>
          <w:szCs w:val="20"/>
        </w:rPr>
        <w:t>Information-sharing as necessary, will be consolidated at regular meetings to consider progress/barriers</w:t>
      </w:r>
    </w:p>
    <w:p w14:paraId="005085A7" w14:textId="77777777" w:rsidR="009342E9" w:rsidRDefault="009342E9" w:rsidP="009342E9">
      <w:pPr>
        <w:pBdr>
          <w:top w:val="single" w:sz="4" w:space="1" w:color="auto"/>
          <w:left w:val="single" w:sz="4" w:space="4" w:color="auto"/>
          <w:bottom w:val="single" w:sz="4" w:space="10" w:color="auto"/>
          <w:right w:val="single" w:sz="4" w:space="4" w:color="auto"/>
        </w:pBdr>
        <w:spacing w:after="0"/>
        <w:ind w:left="-510" w:right="-510"/>
        <w:jc w:val="center"/>
        <w:rPr>
          <w:sz w:val="20"/>
          <w:szCs w:val="20"/>
        </w:rPr>
      </w:pPr>
      <w:r>
        <w:rPr>
          <w:sz w:val="20"/>
          <w:szCs w:val="20"/>
        </w:rPr>
        <w:t xml:space="preserve"> Between meetings reporting/info sharing with EEOG as agreed</w:t>
      </w:r>
    </w:p>
    <w:p w14:paraId="2C23F8DD" w14:textId="77777777" w:rsidR="009342E9" w:rsidRPr="00985CA8" w:rsidRDefault="009342E9" w:rsidP="009342E9">
      <w:pPr>
        <w:pBdr>
          <w:top w:val="single" w:sz="4" w:space="1" w:color="auto"/>
          <w:left w:val="single" w:sz="4" w:space="4" w:color="auto"/>
          <w:bottom w:val="single" w:sz="4" w:space="10" w:color="auto"/>
          <w:right w:val="single" w:sz="4" w:space="4" w:color="auto"/>
        </w:pBdr>
        <w:spacing w:after="0"/>
        <w:ind w:left="-510" w:right="-510"/>
        <w:jc w:val="center"/>
        <w:rPr>
          <w:sz w:val="20"/>
          <w:szCs w:val="20"/>
        </w:rPr>
      </w:pPr>
      <w:r>
        <w:rPr>
          <w:sz w:val="20"/>
          <w:szCs w:val="20"/>
        </w:rPr>
        <w:t>Between meeting support for SPOC, as necessary</w:t>
      </w:r>
    </w:p>
    <w:p w14:paraId="7B0EFBAB" w14:textId="77777777" w:rsidR="009342E9" w:rsidRPr="00985CA8" w:rsidRDefault="009342E9" w:rsidP="009342E9">
      <w:pPr>
        <w:spacing w:after="0"/>
        <w:ind w:left="-510" w:right="-510"/>
        <w:jc w:val="center"/>
        <w:rPr>
          <w:sz w:val="20"/>
          <w:szCs w:val="20"/>
        </w:rPr>
      </w:pPr>
    </w:p>
    <w:p w14:paraId="08D9BEFE" w14:textId="77777777" w:rsidR="009342E9" w:rsidRPr="00985CA8" w:rsidRDefault="009342E9" w:rsidP="009342E9">
      <w:pPr>
        <w:spacing w:after="0"/>
        <w:ind w:left="-510" w:right="-510"/>
        <w:jc w:val="center"/>
        <w:rPr>
          <w:b/>
          <w:sz w:val="20"/>
          <w:szCs w:val="20"/>
        </w:rPr>
      </w:pPr>
      <w:r w:rsidRPr="00985CA8">
        <w:rPr>
          <w:b/>
          <w:sz w:val="20"/>
          <w:szCs w:val="20"/>
        </w:rPr>
        <w:t>Repeat 4 and 5 till 6 achieved</w:t>
      </w:r>
    </w:p>
    <w:p w14:paraId="2480D118" w14:textId="77777777" w:rsidR="009342E9" w:rsidRPr="00985CA8" w:rsidRDefault="009342E9" w:rsidP="009342E9">
      <w:pPr>
        <w:spacing w:after="0"/>
        <w:ind w:left="-510" w:right="-510"/>
        <w:jc w:val="center"/>
        <w:rPr>
          <w:sz w:val="20"/>
          <w:szCs w:val="20"/>
        </w:rPr>
      </w:pPr>
    </w:p>
    <w:p w14:paraId="7CE24FBF" w14:textId="77777777" w:rsidR="009342E9" w:rsidRPr="00985CA8" w:rsidRDefault="009342E9" w:rsidP="009342E9">
      <w:pPr>
        <w:pBdr>
          <w:top w:val="single" w:sz="4" w:space="1" w:color="auto"/>
          <w:left w:val="single" w:sz="4" w:space="4" w:color="auto"/>
          <w:bottom w:val="single" w:sz="4" w:space="1" w:color="auto"/>
          <w:right w:val="single" w:sz="4" w:space="4" w:color="auto"/>
        </w:pBdr>
        <w:spacing w:after="0"/>
        <w:ind w:left="-510" w:right="-510"/>
        <w:rPr>
          <w:b/>
          <w:sz w:val="20"/>
          <w:szCs w:val="20"/>
        </w:rPr>
      </w:pPr>
      <w:r w:rsidRPr="00985CA8">
        <w:rPr>
          <w:b/>
          <w:sz w:val="20"/>
          <w:szCs w:val="20"/>
        </w:rPr>
        <w:t xml:space="preserve">6 </w:t>
      </w:r>
    </w:p>
    <w:p w14:paraId="111A3DE9" w14:textId="77777777" w:rsidR="00D56E5E" w:rsidRPr="009342E9" w:rsidRDefault="009342E9" w:rsidP="009342E9">
      <w:pPr>
        <w:pBdr>
          <w:top w:val="single" w:sz="4" w:space="1" w:color="auto"/>
          <w:left w:val="single" w:sz="4" w:space="4" w:color="auto"/>
          <w:bottom w:val="single" w:sz="4" w:space="1" w:color="auto"/>
          <w:right w:val="single" w:sz="4" w:space="4" w:color="auto"/>
        </w:pBdr>
        <w:spacing w:after="0"/>
        <w:ind w:left="-510" w:right="-510"/>
        <w:rPr>
          <w:sz w:val="20"/>
          <w:szCs w:val="20"/>
        </w:rPr>
      </w:pPr>
      <w:r w:rsidRPr="00985CA8">
        <w:rPr>
          <w:sz w:val="20"/>
          <w:szCs w:val="20"/>
        </w:rPr>
        <w:t xml:space="preserve">The cycle of engagement attempts and meeting to update will be repeated until the risk is reduced, the harm is no longer considered serious and the adult is engaging with support positively. It is anticipated at this point the </w:t>
      </w:r>
      <w:r>
        <w:rPr>
          <w:sz w:val="20"/>
          <w:szCs w:val="20"/>
        </w:rPr>
        <w:t>Engagement Escalation Protocol</w:t>
      </w:r>
      <w:r w:rsidRPr="00985CA8">
        <w:rPr>
          <w:sz w:val="20"/>
          <w:szCs w:val="20"/>
        </w:rPr>
        <w:t xml:space="preserve"> will cease, though other appropriate mechanisms to support, monitor and e</w:t>
      </w:r>
      <w:r>
        <w:rPr>
          <w:sz w:val="20"/>
          <w:szCs w:val="20"/>
        </w:rPr>
        <w:t>ngage may continue as necessary in a de-escalation process.</w:t>
      </w:r>
    </w:p>
    <w:sectPr w:rsidR="00D56E5E" w:rsidRPr="009342E9">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FF599" w14:textId="77777777" w:rsidR="009342E9" w:rsidRDefault="009342E9" w:rsidP="009342E9">
      <w:pPr>
        <w:spacing w:after="0" w:line="240" w:lineRule="auto"/>
      </w:pPr>
      <w:r>
        <w:separator/>
      </w:r>
    </w:p>
  </w:endnote>
  <w:endnote w:type="continuationSeparator" w:id="0">
    <w:p w14:paraId="58A339FA" w14:textId="77777777" w:rsidR="009342E9" w:rsidRDefault="009342E9" w:rsidP="0093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376273"/>
      <w:docPartObj>
        <w:docPartGallery w:val="Page Numbers (Bottom of Page)"/>
        <w:docPartUnique/>
      </w:docPartObj>
    </w:sdtPr>
    <w:sdtEndPr>
      <w:rPr>
        <w:color w:val="7F7F7F" w:themeColor="background1" w:themeShade="7F"/>
        <w:spacing w:val="60"/>
      </w:rPr>
    </w:sdtEndPr>
    <w:sdtContent>
      <w:p w14:paraId="6FA5C86A" w14:textId="77777777" w:rsidR="00374820" w:rsidRDefault="00697068">
        <w:pPr>
          <w:pStyle w:val="Footer"/>
          <w:pBdr>
            <w:top w:val="single" w:sz="4" w:space="1" w:color="D9D9D9" w:themeColor="background1" w:themeShade="D9"/>
          </w:pBdr>
          <w:jc w:val="right"/>
        </w:pPr>
        <w:r>
          <w:fldChar w:fldCharType="begin"/>
        </w:r>
        <w:r>
          <w:instrText xml:space="preserve"> PAGE   \* MERGEFORMAT </w:instrText>
        </w:r>
        <w:r>
          <w:fldChar w:fldCharType="separate"/>
        </w:r>
        <w:r w:rsidR="00C3635C">
          <w:rPr>
            <w:noProof/>
          </w:rPr>
          <w:t>10</w:t>
        </w:r>
        <w:r>
          <w:rPr>
            <w:noProof/>
          </w:rPr>
          <w:fldChar w:fldCharType="end"/>
        </w:r>
        <w:r>
          <w:t xml:space="preserve"> | </w:t>
        </w:r>
        <w:r>
          <w:rPr>
            <w:color w:val="7F7F7F" w:themeColor="background1" w:themeShade="7F"/>
            <w:spacing w:val="60"/>
          </w:rPr>
          <w:t>Page</w:t>
        </w:r>
      </w:p>
    </w:sdtContent>
  </w:sdt>
  <w:p w14:paraId="46067308" w14:textId="77777777" w:rsidR="00374820" w:rsidRDefault="00C36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68FED" w14:textId="77777777" w:rsidR="009342E9" w:rsidRDefault="009342E9" w:rsidP="009342E9">
      <w:pPr>
        <w:spacing w:after="0" w:line="240" w:lineRule="auto"/>
      </w:pPr>
      <w:r>
        <w:separator/>
      </w:r>
    </w:p>
  </w:footnote>
  <w:footnote w:type="continuationSeparator" w:id="0">
    <w:p w14:paraId="246AC111" w14:textId="77777777" w:rsidR="009342E9" w:rsidRDefault="009342E9" w:rsidP="009342E9">
      <w:pPr>
        <w:spacing w:after="0" w:line="240" w:lineRule="auto"/>
      </w:pPr>
      <w:r>
        <w:continuationSeparator/>
      </w:r>
    </w:p>
  </w:footnote>
  <w:footnote w:id="1">
    <w:p w14:paraId="724CB8DF" w14:textId="77777777" w:rsidR="009342E9" w:rsidRDefault="009342E9" w:rsidP="009342E9">
      <w:pPr>
        <w:pStyle w:val="FootnoteText"/>
      </w:pPr>
      <w:r>
        <w:rPr>
          <w:rStyle w:val="FootnoteReference"/>
        </w:rPr>
        <w:footnoteRef/>
      </w:r>
      <w:r>
        <w:t xml:space="preserve"> Serious harm: see guidance on what constitutes serious harm in Inter-agency ASP Guidance page 19 </w:t>
      </w:r>
    </w:p>
  </w:footnote>
  <w:footnote w:id="2">
    <w:p w14:paraId="045D2D30" w14:textId="25CF20EA" w:rsidR="009342E9" w:rsidRDefault="009342E9" w:rsidP="009342E9">
      <w:pPr>
        <w:pStyle w:val="FootnoteText"/>
      </w:pPr>
      <w:r>
        <w:rPr>
          <w:rStyle w:val="FootnoteReference"/>
        </w:rPr>
        <w:footnoteRef/>
      </w:r>
      <w:r>
        <w:t xml:space="preserve"> Inter-age</w:t>
      </w:r>
      <w:r w:rsidR="00C3635C">
        <w:t xml:space="preserve">ncy chronology guidance: page </w:t>
      </w:r>
      <w:r w:rsidR="00C3635C">
        <w:t>65</w:t>
      </w:r>
      <w:bookmarkStart w:id="0" w:name="_GoBack"/>
      <w:bookmarkEnd w:id="0"/>
      <w:r>
        <w:t xml:space="preserve"> Inter-agency ASP Guidance and in the SW ASP Procedures</w:t>
      </w:r>
    </w:p>
  </w:footnote>
  <w:footnote w:id="3">
    <w:p w14:paraId="059B4CC1" w14:textId="77777777" w:rsidR="009342E9" w:rsidRDefault="009342E9" w:rsidP="009342E9">
      <w:pPr>
        <w:pStyle w:val="FootnoteText"/>
      </w:pPr>
      <w:r>
        <w:rPr>
          <w:rStyle w:val="FootnoteReference"/>
        </w:rPr>
        <w:footnoteRef/>
      </w:r>
      <w:r>
        <w:t xml:space="preserve"> Case Conference, Core Group and Case Conference Review process can viewed in Fife Inter-agency ASP Guidance and SW ASP Procedures.</w:t>
      </w:r>
    </w:p>
  </w:footnote>
  <w:footnote w:id="4">
    <w:p w14:paraId="31DC3213" w14:textId="77777777" w:rsidR="009342E9" w:rsidRDefault="009342E9" w:rsidP="009342E9">
      <w:pPr>
        <w:pStyle w:val="FootnoteText"/>
      </w:pPr>
      <w:r>
        <w:rPr>
          <w:rStyle w:val="FootnoteReference"/>
        </w:rPr>
        <w:footnoteRef/>
      </w:r>
      <w:r>
        <w:t xml:space="preserve"> The Dispute Resolution Protocol is available on the ASPC staff pages of FifeDirect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2AF2" w14:textId="46444AF1" w:rsidR="00374820" w:rsidRDefault="00C36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B5156" w14:textId="44FBE3F4" w:rsidR="00374820" w:rsidRDefault="00C363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FE32" w14:textId="6581F942" w:rsidR="00374820" w:rsidRDefault="00C363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C1C"/>
    <w:multiLevelType w:val="hybridMultilevel"/>
    <w:tmpl w:val="9400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72C5"/>
    <w:multiLevelType w:val="hybridMultilevel"/>
    <w:tmpl w:val="96301D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17DCD"/>
    <w:multiLevelType w:val="hybridMultilevel"/>
    <w:tmpl w:val="DB4EC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165A3"/>
    <w:multiLevelType w:val="hybridMultilevel"/>
    <w:tmpl w:val="86B4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21A48"/>
    <w:multiLevelType w:val="hybridMultilevel"/>
    <w:tmpl w:val="518A73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7537BC"/>
    <w:multiLevelType w:val="hybridMultilevel"/>
    <w:tmpl w:val="AB64A9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3C430AB"/>
    <w:multiLevelType w:val="hybridMultilevel"/>
    <w:tmpl w:val="B060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53878"/>
    <w:multiLevelType w:val="hybridMultilevel"/>
    <w:tmpl w:val="1E86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E9"/>
    <w:rsid w:val="00053995"/>
    <w:rsid w:val="000E2018"/>
    <w:rsid w:val="001A6FDE"/>
    <w:rsid w:val="005038B1"/>
    <w:rsid w:val="005712C4"/>
    <w:rsid w:val="005D7C96"/>
    <w:rsid w:val="00697068"/>
    <w:rsid w:val="009342E9"/>
    <w:rsid w:val="00982AB7"/>
    <w:rsid w:val="00AB5FFE"/>
    <w:rsid w:val="00C3635C"/>
    <w:rsid w:val="00EA534B"/>
    <w:rsid w:val="00F74D1E"/>
    <w:rsid w:val="00FA7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A2C2"/>
  <w15:chartTrackingRefBased/>
  <w15:docId w15:val="{89DA1631-A755-4E9D-BD38-A9F623DC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2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2E9"/>
    <w:pPr>
      <w:ind w:left="720"/>
      <w:contextualSpacing/>
    </w:pPr>
  </w:style>
  <w:style w:type="paragraph" w:styleId="FootnoteText">
    <w:name w:val="footnote text"/>
    <w:basedOn w:val="Normal"/>
    <w:link w:val="FootnoteTextChar"/>
    <w:uiPriority w:val="99"/>
    <w:semiHidden/>
    <w:unhideWhenUsed/>
    <w:rsid w:val="009342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42E9"/>
    <w:rPr>
      <w:sz w:val="20"/>
      <w:szCs w:val="20"/>
    </w:rPr>
  </w:style>
  <w:style w:type="character" w:styleId="FootnoteReference">
    <w:name w:val="footnote reference"/>
    <w:basedOn w:val="DefaultParagraphFont"/>
    <w:uiPriority w:val="99"/>
    <w:semiHidden/>
    <w:unhideWhenUsed/>
    <w:rsid w:val="009342E9"/>
    <w:rPr>
      <w:vertAlign w:val="superscript"/>
    </w:rPr>
  </w:style>
  <w:style w:type="paragraph" w:styleId="Header">
    <w:name w:val="header"/>
    <w:basedOn w:val="Normal"/>
    <w:link w:val="HeaderChar"/>
    <w:uiPriority w:val="99"/>
    <w:unhideWhenUsed/>
    <w:rsid w:val="00934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2E9"/>
  </w:style>
  <w:style w:type="paragraph" w:styleId="Footer">
    <w:name w:val="footer"/>
    <w:basedOn w:val="Normal"/>
    <w:link w:val="FooterChar"/>
    <w:uiPriority w:val="99"/>
    <w:unhideWhenUsed/>
    <w:rsid w:val="00934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2E9"/>
  </w:style>
  <w:style w:type="table" w:styleId="TableGrid">
    <w:name w:val="Table Grid"/>
    <w:basedOn w:val="TableNormal"/>
    <w:uiPriority w:val="59"/>
    <w:rsid w:val="0093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7C96"/>
    <w:rPr>
      <w:sz w:val="16"/>
      <w:szCs w:val="16"/>
    </w:rPr>
  </w:style>
  <w:style w:type="paragraph" w:styleId="CommentText">
    <w:name w:val="annotation text"/>
    <w:basedOn w:val="Normal"/>
    <w:link w:val="CommentTextChar"/>
    <w:uiPriority w:val="99"/>
    <w:semiHidden/>
    <w:unhideWhenUsed/>
    <w:rsid w:val="005D7C96"/>
    <w:pPr>
      <w:spacing w:line="240" w:lineRule="auto"/>
    </w:pPr>
    <w:rPr>
      <w:sz w:val="20"/>
      <w:szCs w:val="20"/>
    </w:rPr>
  </w:style>
  <w:style w:type="character" w:customStyle="1" w:styleId="CommentTextChar">
    <w:name w:val="Comment Text Char"/>
    <w:basedOn w:val="DefaultParagraphFont"/>
    <w:link w:val="CommentText"/>
    <w:uiPriority w:val="99"/>
    <w:semiHidden/>
    <w:rsid w:val="005D7C96"/>
    <w:rPr>
      <w:sz w:val="20"/>
      <w:szCs w:val="20"/>
    </w:rPr>
  </w:style>
  <w:style w:type="paragraph" w:styleId="CommentSubject">
    <w:name w:val="annotation subject"/>
    <w:basedOn w:val="CommentText"/>
    <w:next w:val="CommentText"/>
    <w:link w:val="CommentSubjectChar"/>
    <w:uiPriority w:val="99"/>
    <w:semiHidden/>
    <w:unhideWhenUsed/>
    <w:rsid w:val="005D7C96"/>
    <w:rPr>
      <w:b/>
      <w:bCs/>
    </w:rPr>
  </w:style>
  <w:style w:type="character" w:customStyle="1" w:styleId="CommentSubjectChar">
    <w:name w:val="Comment Subject Char"/>
    <w:basedOn w:val="CommentTextChar"/>
    <w:link w:val="CommentSubject"/>
    <w:uiPriority w:val="99"/>
    <w:semiHidden/>
    <w:rsid w:val="005D7C96"/>
    <w:rPr>
      <w:b/>
      <w:bCs/>
      <w:sz w:val="20"/>
      <w:szCs w:val="20"/>
    </w:rPr>
  </w:style>
  <w:style w:type="paragraph" w:styleId="BalloonText">
    <w:name w:val="Balloon Text"/>
    <w:basedOn w:val="Normal"/>
    <w:link w:val="BalloonTextChar"/>
    <w:uiPriority w:val="99"/>
    <w:semiHidden/>
    <w:unhideWhenUsed/>
    <w:rsid w:val="005D7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King</dc:creator>
  <cp:keywords/>
  <dc:description/>
  <cp:lastModifiedBy>Shona McEwan</cp:lastModifiedBy>
  <cp:revision>5</cp:revision>
  <dcterms:created xsi:type="dcterms:W3CDTF">2019-06-06T14:14:00Z</dcterms:created>
  <dcterms:modified xsi:type="dcterms:W3CDTF">2019-09-25T09:55:00Z</dcterms:modified>
</cp:coreProperties>
</file>